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3255" w14:textId="77777777" w:rsidR="00E44CDA" w:rsidRPr="00870067" w:rsidRDefault="00E44CDA" w:rsidP="00E44CDA">
      <w:pPr>
        <w:rPr>
          <w:rFonts w:ascii="Cera Pro Macmillan" w:hAnsi="Cera Pro Macmillan" w:cstheme="minorHAnsi"/>
        </w:rPr>
      </w:pPr>
    </w:p>
    <w:p w14:paraId="58F2915D" w14:textId="3D1D83F2" w:rsidR="00E44CDA" w:rsidRPr="00870067" w:rsidRDefault="00E44CDA" w:rsidP="00E44CDA">
      <w:pPr>
        <w:rPr>
          <w:rFonts w:ascii="Cera Pro Macmillan" w:hAnsi="Cera Pro Macmillan" w:cstheme="minorHAnsi"/>
          <w:b/>
          <w:bCs/>
          <w:sz w:val="32"/>
          <w:szCs w:val="32"/>
        </w:rPr>
      </w:pPr>
      <w:r w:rsidRPr="00870067">
        <w:rPr>
          <w:rFonts w:ascii="Cera Pro Macmillan" w:hAnsi="Cera Pro Macmillan" w:cstheme="minorHAnsi"/>
          <w:b/>
          <w:bCs/>
          <w:sz w:val="32"/>
          <w:szCs w:val="32"/>
        </w:rPr>
        <w:t xml:space="preserve">Genomic Testing For </w:t>
      </w:r>
      <w:r w:rsidR="00183F5B">
        <w:rPr>
          <w:rFonts w:ascii="Cera Pro Macmillan" w:hAnsi="Cera Pro Macmillan" w:cstheme="minorHAnsi"/>
          <w:b/>
          <w:bCs/>
          <w:sz w:val="32"/>
          <w:szCs w:val="32"/>
        </w:rPr>
        <w:t>Gynaecological</w:t>
      </w:r>
      <w:r w:rsidRPr="00870067">
        <w:rPr>
          <w:rFonts w:ascii="Cera Pro Macmillan" w:hAnsi="Cera Pro Macmillan" w:cstheme="minorHAnsi"/>
          <w:b/>
          <w:bCs/>
          <w:sz w:val="32"/>
          <w:szCs w:val="32"/>
        </w:rPr>
        <w:t xml:space="preserve"> Cancer</w:t>
      </w:r>
    </w:p>
    <w:p w14:paraId="6CBF763F" w14:textId="77777777" w:rsidR="00E44CDA" w:rsidRPr="00870067" w:rsidRDefault="00E44CDA" w:rsidP="00E44CDA">
      <w:pPr>
        <w:rPr>
          <w:rFonts w:ascii="Cera Pro Macmillan" w:hAnsi="Cera Pro Macmillan" w:cstheme="minorHAnsi"/>
        </w:rPr>
      </w:pPr>
    </w:p>
    <w:p w14:paraId="08284A72" w14:textId="77777777" w:rsidR="00E44CDA" w:rsidRPr="00870067" w:rsidRDefault="00E44CDA" w:rsidP="00E44CDA">
      <w:pPr>
        <w:rPr>
          <w:rFonts w:ascii="Cera Pro Macmillan" w:hAnsi="Cera Pro Macmillan" w:cstheme="minorHAnsi"/>
        </w:rPr>
      </w:pPr>
    </w:p>
    <w:p w14:paraId="0CBCBF20" w14:textId="1B509B13"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Genomics is rapidly becoming an integral part of cancer care and its clinical significance </w:t>
      </w:r>
      <w:r w:rsidR="006E2605" w:rsidRPr="00870067">
        <w:rPr>
          <w:rFonts w:ascii="Cera Pro Macmillan" w:hAnsi="Cera Pro Macmillan" w:cstheme="minorHAnsi"/>
        </w:rPr>
        <w:t>continues to</w:t>
      </w:r>
      <w:r w:rsidRPr="00870067">
        <w:rPr>
          <w:rFonts w:ascii="Cera Pro Macmillan" w:hAnsi="Cera Pro Macmillan" w:cstheme="minorHAnsi"/>
        </w:rPr>
        <w:t xml:space="preserve"> increase. Now that next generation sequencing panel testing is available in the NHS for cancer patients, genomics will transition into a central pillar of routine cancer treatment and prevention. </w:t>
      </w:r>
    </w:p>
    <w:p w14:paraId="3FFCDB95" w14:textId="77777777" w:rsidR="00E44CDA" w:rsidRPr="00870067" w:rsidRDefault="00E44CDA" w:rsidP="00E44CDA">
      <w:pPr>
        <w:rPr>
          <w:rFonts w:ascii="Cera Pro Macmillan" w:hAnsi="Cera Pro Macmillan" w:cstheme="minorHAnsi"/>
        </w:rPr>
      </w:pPr>
    </w:p>
    <w:p w14:paraId="6280BC5E" w14:textId="77777777" w:rsidR="00E44CDA" w:rsidRPr="00870067" w:rsidRDefault="00E44CDA" w:rsidP="00E44CDA">
      <w:pPr>
        <w:rPr>
          <w:rFonts w:ascii="Cera Pro Macmillan" w:hAnsi="Cera Pro Macmillan" w:cstheme="minorHAnsi"/>
        </w:rPr>
      </w:pPr>
      <w:r w:rsidRPr="00870067">
        <w:rPr>
          <w:rFonts w:ascii="Cera Pro Macmillan" w:hAnsi="Cera Pro Macmillan" w:cstheme="minorHAnsi"/>
        </w:rPr>
        <w:t>Genome UK has outlined a strategy to embed genomics into routine care over the coming years. Part of this strategy is to ensure we can deliver equitable access to genomic testing in cancer care, ensuring better outcomes for our patients.</w:t>
      </w:r>
    </w:p>
    <w:p w14:paraId="7FC748CC" w14:textId="77777777" w:rsidR="00E44CDA" w:rsidRPr="00870067" w:rsidRDefault="00E44CDA" w:rsidP="00E44CDA">
      <w:pPr>
        <w:rPr>
          <w:rFonts w:ascii="Cera Pro Macmillan" w:hAnsi="Cera Pro Macmillan" w:cstheme="minorHAnsi"/>
        </w:rPr>
      </w:pPr>
    </w:p>
    <w:p w14:paraId="1B40B478" w14:textId="77777777" w:rsidR="00E44CDA" w:rsidRPr="00870067" w:rsidRDefault="00E44CDA" w:rsidP="00E44CDA">
      <w:pPr>
        <w:rPr>
          <w:rFonts w:ascii="Cera Pro Macmillan" w:hAnsi="Cera Pro Macmillan" w:cstheme="minorHAnsi"/>
          <w:b/>
          <w:bCs/>
        </w:rPr>
      </w:pPr>
      <w:r w:rsidRPr="00870067">
        <w:rPr>
          <w:rFonts w:ascii="Cera Pro Macmillan" w:hAnsi="Cera Pro Macmillan" w:cstheme="minorHAnsi"/>
          <w:b/>
          <w:bCs/>
        </w:rPr>
        <w:t xml:space="preserve">What is Genomic Testing? </w:t>
      </w:r>
    </w:p>
    <w:p w14:paraId="1C582AE6" w14:textId="77777777" w:rsidR="00E44CDA" w:rsidRPr="00870067" w:rsidRDefault="00E44CDA" w:rsidP="00E44CDA">
      <w:pPr>
        <w:rPr>
          <w:rFonts w:ascii="Cera Pro Macmillan" w:hAnsi="Cera Pro Macmillan" w:cstheme="minorHAnsi"/>
        </w:rPr>
      </w:pPr>
    </w:p>
    <w:p w14:paraId="7D728215" w14:textId="6ED57A7A"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When people inherit changes in their genes at birth, they can be at increased risk of developing a cancer in their lifetime. The genes we look at for Ovarian and </w:t>
      </w:r>
      <w:r w:rsidR="00183F5B">
        <w:rPr>
          <w:rFonts w:ascii="Cera Pro Macmillan" w:hAnsi="Cera Pro Macmillan" w:cstheme="minorHAnsi"/>
        </w:rPr>
        <w:t>Endometrial</w:t>
      </w:r>
      <w:r w:rsidRPr="00870067">
        <w:rPr>
          <w:rFonts w:ascii="Cera Pro Macmillan" w:hAnsi="Cera Pro Macmillan" w:cstheme="minorHAnsi"/>
        </w:rPr>
        <w:t xml:space="preserve"> cancers usually work to protect the body from a cancer forming by repairing DNA damage in cells. If these genes have a change in them, they stop working well at repairing DNA damage, genetic mutations accumulate within the cells and put the person at higher risk of getting a cancer in their lifetime. </w:t>
      </w:r>
    </w:p>
    <w:p w14:paraId="2CF5593D" w14:textId="77777777" w:rsidR="00E44CDA" w:rsidRPr="00870067" w:rsidRDefault="00E44CDA" w:rsidP="00E44CDA">
      <w:pPr>
        <w:rPr>
          <w:rFonts w:ascii="Cera Pro Macmillan" w:hAnsi="Cera Pro Macmillan" w:cstheme="minorHAnsi"/>
        </w:rPr>
      </w:pPr>
    </w:p>
    <w:p w14:paraId="5B6D4B81" w14:textId="4D52BD35"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If a person develops a cancer at a particularly young age, or has multiple incidences of cancer in their family, or the cancer has certain ‘traits’ (ie </w:t>
      </w:r>
      <w:r w:rsidR="00502A23">
        <w:rPr>
          <w:rFonts w:ascii="Cera Pro Macmillan" w:hAnsi="Cera Pro Macmillan" w:cstheme="minorHAnsi"/>
        </w:rPr>
        <w:t>high grade non mucinous epithelial ovarian cancer</w:t>
      </w:r>
      <w:r w:rsidRPr="00870067">
        <w:rPr>
          <w:rFonts w:ascii="Cera Pro Macmillan" w:hAnsi="Cera Pro Macmillan" w:cstheme="minorHAnsi"/>
        </w:rPr>
        <w:t xml:space="preserve">‘), then it’s more likely that this cancer could be caused by a genetic change. </w:t>
      </w:r>
    </w:p>
    <w:p w14:paraId="0AF6859C" w14:textId="77777777" w:rsidR="00E44CDA" w:rsidRPr="00870067" w:rsidRDefault="00E44CDA" w:rsidP="00E44CDA">
      <w:pPr>
        <w:rPr>
          <w:rFonts w:ascii="Cera Pro Macmillan" w:hAnsi="Cera Pro Macmillan" w:cstheme="minorHAnsi"/>
        </w:rPr>
      </w:pPr>
    </w:p>
    <w:p w14:paraId="2E705ACF" w14:textId="15290DF0"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 ‘Mainstreaming Genomics’ </w:t>
      </w:r>
      <w:r w:rsidR="002E1102" w:rsidRPr="00870067">
        <w:rPr>
          <w:rFonts w:ascii="Cera Pro Macmillan" w:hAnsi="Cera Pro Macmillan" w:cstheme="minorHAnsi"/>
        </w:rPr>
        <w:t>allows cancer teams to directly order ge</w:t>
      </w:r>
      <w:r w:rsidR="00A82163" w:rsidRPr="00870067">
        <w:rPr>
          <w:rFonts w:ascii="Cera Pro Macmillan" w:hAnsi="Cera Pro Macmillan" w:cstheme="minorHAnsi"/>
        </w:rPr>
        <w:t xml:space="preserve">nomic tests for </w:t>
      </w:r>
      <w:r w:rsidRPr="00870067">
        <w:rPr>
          <w:rFonts w:ascii="Cera Pro Macmillan" w:hAnsi="Cera Pro Macmillan" w:cstheme="minorHAnsi"/>
        </w:rPr>
        <w:t xml:space="preserve">patients who meet standardised criteria set out by the National Genomic Test Directory. </w:t>
      </w:r>
      <w:r w:rsidR="00A82163" w:rsidRPr="00870067">
        <w:rPr>
          <w:rFonts w:ascii="Cera Pro Macmillan" w:hAnsi="Cera Pro Macmillan" w:cstheme="minorHAnsi"/>
        </w:rPr>
        <w:t xml:space="preserve">The model has been piloted in a number of tumour sites including </w:t>
      </w:r>
      <w:r w:rsidR="00FC324A" w:rsidRPr="00870067">
        <w:rPr>
          <w:rFonts w:ascii="Cera Pro Macmillan" w:hAnsi="Cera Pro Macmillan" w:cstheme="minorHAnsi"/>
        </w:rPr>
        <w:t xml:space="preserve">ovarian and colorectal cancers and has resulted in reduced waiting times, cost savings and improved outcomes for patients. </w:t>
      </w:r>
      <w:r w:rsidRPr="00870067">
        <w:rPr>
          <w:rFonts w:ascii="Cera Pro Macmillan" w:hAnsi="Cera Pro Macmillan" w:cstheme="minorHAnsi"/>
        </w:rPr>
        <w:t>The test</w:t>
      </w:r>
      <w:r w:rsidR="00F368ED">
        <w:rPr>
          <w:rFonts w:ascii="Cera Pro Macmillan" w:hAnsi="Cera Pro Macmillan" w:cstheme="minorHAnsi"/>
        </w:rPr>
        <w:t>s</w:t>
      </w:r>
      <w:r w:rsidRPr="00870067">
        <w:rPr>
          <w:rFonts w:ascii="Cera Pro Macmillan" w:hAnsi="Cera Pro Macmillan" w:cstheme="minorHAnsi"/>
        </w:rPr>
        <w:t xml:space="preserve"> </w:t>
      </w:r>
      <w:r w:rsidR="00870067" w:rsidRPr="00870067">
        <w:rPr>
          <w:rFonts w:ascii="Cera Pro Macmillan" w:hAnsi="Cera Pro Macmillan" w:cstheme="minorHAnsi"/>
        </w:rPr>
        <w:t>for</w:t>
      </w:r>
      <w:r w:rsidR="00F368ED">
        <w:rPr>
          <w:rFonts w:ascii="Cera Pro Macmillan" w:hAnsi="Cera Pro Macmillan" w:cstheme="minorHAnsi"/>
        </w:rPr>
        <w:t xml:space="preserve"> ovarian and endometrial</w:t>
      </w:r>
      <w:r w:rsidR="00870067" w:rsidRPr="00870067">
        <w:rPr>
          <w:rFonts w:ascii="Cera Pro Macmillan" w:hAnsi="Cera Pro Macmillan" w:cstheme="minorHAnsi"/>
        </w:rPr>
        <w:t xml:space="preserve"> cancer </w:t>
      </w:r>
      <w:r w:rsidRPr="00870067">
        <w:rPr>
          <w:rFonts w:ascii="Cera Pro Macmillan" w:hAnsi="Cera Pro Macmillan" w:cstheme="minorHAnsi"/>
        </w:rPr>
        <w:t>sequences and analyses genes listed in the test directory’s R20</w:t>
      </w:r>
      <w:r w:rsidR="00F368ED">
        <w:rPr>
          <w:rFonts w:ascii="Cera Pro Macmillan" w:hAnsi="Cera Pro Macmillan" w:cstheme="minorHAnsi"/>
        </w:rPr>
        <w:t>7 and R210</w:t>
      </w:r>
      <w:r w:rsidRPr="00870067">
        <w:rPr>
          <w:rFonts w:ascii="Cera Pro Macmillan" w:hAnsi="Cera Pro Macmillan" w:cstheme="minorHAnsi"/>
        </w:rPr>
        <w:t xml:space="preserve"> panel</w:t>
      </w:r>
      <w:r w:rsidR="00F368ED">
        <w:rPr>
          <w:rFonts w:ascii="Cera Pro Macmillan" w:hAnsi="Cera Pro Macmillan" w:cstheme="minorHAnsi"/>
        </w:rPr>
        <w:t>s. They are</w:t>
      </w:r>
      <w:r w:rsidRPr="00870067">
        <w:rPr>
          <w:rFonts w:ascii="Cera Pro Macmillan" w:hAnsi="Cera Pro Macmillan" w:cstheme="minorHAnsi"/>
        </w:rPr>
        <w:t xml:space="preserve"> usually delivered as a blood test</w:t>
      </w:r>
      <w:r w:rsidR="00F368ED">
        <w:rPr>
          <w:rFonts w:ascii="Cera Pro Macmillan" w:hAnsi="Cera Pro Macmillan" w:cstheme="minorHAnsi"/>
        </w:rPr>
        <w:t>, but may include a tissue sample (‘somatic’) test</w:t>
      </w:r>
      <w:r w:rsidRPr="00870067">
        <w:rPr>
          <w:rFonts w:ascii="Cera Pro Macmillan" w:hAnsi="Cera Pro Macmillan" w:cstheme="minorHAnsi"/>
        </w:rPr>
        <w:t>.</w:t>
      </w:r>
    </w:p>
    <w:p w14:paraId="27588653" w14:textId="77777777" w:rsidR="00E44CDA" w:rsidRPr="00870067" w:rsidRDefault="00E44CDA" w:rsidP="00E44CDA">
      <w:pPr>
        <w:rPr>
          <w:rFonts w:ascii="Cera Pro Macmillan" w:hAnsi="Cera Pro Macmillan" w:cstheme="minorHAnsi"/>
        </w:rPr>
      </w:pPr>
    </w:p>
    <w:p w14:paraId="0A25F0CD" w14:textId="77777777" w:rsidR="00E44CDA" w:rsidRPr="00870067" w:rsidRDefault="00E44CDA" w:rsidP="00E44CDA">
      <w:pPr>
        <w:rPr>
          <w:rFonts w:ascii="Cera Pro Macmillan" w:hAnsi="Cera Pro Macmillan" w:cstheme="minorHAnsi"/>
        </w:rPr>
      </w:pPr>
    </w:p>
    <w:p w14:paraId="6C93A95C" w14:textId="4D6A2E35" w:rsidR="00E44CDA" w:rsidRPr="00870067" w:rsidRDefault="00E44CDA" w:rsidP="00E44CDA">
      <w:pPr>
        <w:rPr>
          <w:rFonts w:ascii="Cera Pro Macmillan" w:hAnsi="Cera Pro Macmillan" w:cstheme="minorHAnsi"/>
          <w:b/>
          <w:bCs/>
        </w:rPr>
      </w:pPr>
      <w:r w:rsidRPr="00870067">
        <w:rPr>
          <w:rFonts w:ascii="Cera Pro Macmillan" w:hAnsi="Cera Pro Macmillan" w:cstheme="minorHAnsi"/>
          <w:b/>
          <w:bCs/>
        </w:rPr>
        <w:t>Why are we implementing</w:t>
      </w:r>
      <w:r w:rsidR="00F819BE">
        <w:rPr>
          <w:rFonts w:ascii="Cera Pro Macmillan" w:hAnsi="Cera Pro Macmillan" w:cstheme="minorHAnsi"/>
          <w:b/>
          <w:bCs/>
        </w:rPr>
        <w:t xml:space="preserve"> this</w:t>
      </w:r>
      <w:r w:rsidRPr="00870067">
        <w:rPr>
          <w:rFonts w:ascii="Cera Pro Macmillan" w:hAnsi="Cera Pro Macmillan" w:cstheme="minorHAnsi"/>
          <w:b/>
          <w:bCs/>
        </w:rPr>
        <w:t xml:space="preserve">? </w:t>
      </w:r>
    </w:p>
    <w:p w14:paraId="77D513CC" w14:textId="77777777" w:rsidR="00E44CDA" w:rsidRPr="00870067" w:rsidRDefault="00E44CDA" w:rsidP="00E44CDA">
      <w:pPr>
        <w:rPr>
          <w:rFonts w:ascii="Cera Pro Macmillan" w:hAnsi="Cera Pro Macmillan" w:cstheme="minorHAnsi"/>
        </w:rPr>
      </w:pPr>
    </w:p>
    <w:p w14:paraId="4465702C" w14:textId="77777777" w:rsidR="00E44CDA" w:rsidRPr="00870067" w:rsidRDefault="00E44CDA" w:rsidP="00E44CDA">
      <w:pPr>
        <w:rPr>
          <w:rFonts w:ascii="Cera Pro Macmillan" w:hAnsi="Cera Pro Macmillan" w:cstheme="minorHAnsi"/>
        </w:rPr>
      </w:pPr>
      <w:r w:rsidRPr="00870067">
        <w:rPr>
          <w:rFonts w:ascii="Cera Pro Macmillan" w:hAnsi="Cera Pro Macmillan" w:cstheme="minorHAnsi"/>
        </w:rPr>
        <w:t>The NHS Long Term Plan has set the goal that 75% of cancers will be diagnosed at an early stage by 2028. One of the ways this ambition can be reached is through the targeted screening and personalised surveillance plans of those at risk from developing cancers. The insight from genomic testing can impact treatment options, identify risk of recurrence, or indicate that a person’s cancer has developed from a hereditary gene, meaning implications for family screening, testing and preventative intervention.</w:t>
      </w:r>
    </w:p>
    <w:p w14:paraId="028D1397" w14:textId="77777777" w:rsidR="00E44CDA" w:rsidRPr="00870067" w:rsidRDefault="00E44CDA" w:rsidP="00E44CDA">
      <w:pPr>
        <w:rPr>
          <w:rFonts w:ascii="Cera Pro Macmillan" w:hAnsi="Cera Pro Macmillan" w:cstheme="minorHAnsi"/>
        </w:rPr>
      </w:pPr>
    </w:p>
    <w:p w14:paraId="0BC74B52" w14:textId="77777777" w:rsidR="00E44CDA" w:rsidRPr="00870067" w:rsidRDefault="00E44CDA" w:rsidP="00E44CDA">
      <w:pPr>
        <w:rPr>
          <w:rFonts w:ascii="Cera Pro Macmillan" w:hAnsi="Cera Pro Macmillan" w:cstheme="minorHAnsi"/>
        </w:rPr>
      </w:pPr>
    </w:p>
    <w:p w14:paraId="77A14D32" w14:textId="2D1F137E" w:rsidR="00E44CDA" w:rsidRPr="004747AE" w:rsidRDefault="00E44CDA" w:rsidP="00E44CDA">
      <w:pPr>
        <w:rPr>
          <w:rFonts w:ascii="Cera Pro Macmillan" w:hAnsi="Cera Pro Macmillan" w:cstheme="minorHAnsi"/>
          <w:sz w:val="32"/>
          <w:szCs w:val="32"/>
          <w:u w:val="single"/>
        </w:rPr>
      </w:pPr>
      <w:r w:rsidRPr="004747AE">
        <w:rPr>
          <w:rFonts w:ascii="Cera Pro Macmillan" w:hAnsi="Cera Pro Macmillan" w:cstheme="minorHAnsi"/>
          <w:sz w:val="32"/>
          <w:szCs w:val="32"/>
          <w:u w:val="single"/>
        </w:rPr>
        <w:t>Gen</w:t>
      </w:r>
      <w:r w:rsidR="00636494" w:rsidRPr="004747AE">
        <w:rPr>
          <w:rFonts w:ascii="Cera Pro Macmillan" w:hAnsi="Cera Pro Macmillan" w:cstheme="minorHAnsi"/>
          <w:sz w:val="32"/>
          <w:szCs w:val="32"/>
          <w:u w:val="single"/>
        </w:rPr>
        <w:t>omic</w:t>
      </w:r>
      <w:r w:rsidRPr="004747AE">
        <w:rPr>
          <w:rFonts w:ascii="Cera Pro Macmillan" w:hAnsi="Cera Pro Macmillan" w:cstheme="minorHAnsi"/>
          <w:sz w:val="32"/>
          <w:szCs w:val="32"/>
          <w:u w:val="single"/>
        </w:rPr>
        <w:t xml:space="preserve">s mainstreaming clinic set-up: Step-by-step guide </w:t>
      </w:r>
    </w:p>
    <w:p w14:paraId="5164DFE3" w14:textId="77777777" w:rsidR="00636494" w:rsidRDefault="00636494" w:rsidP="00E44CDA">
      <w:pPr>
        <w:rPr>
          <w:rFonts w:ascii="Cera Pro Macmillan" w:hAnsi="Cera Pro Macmillan" w:cstheme="minorHAnsi"/>
        </w:rPr>
      </w:pPr>
    </w:p>
    <w:p w14:paraId="021B7127" w14:textId="4A8452AF" w:rsidR="00E44CDA" w:rsidRPr="004747AE" w:rsidRDefault="00636494" w:rsidP="00E44CDA">
      <w:pPr>
        <w:rPr>
          <w:rFonts w:ascii="Cera Pro Macmillan" w:hAnsi="Cera Pro Macmillan" w:cstheme="minorHAnsi"/>
          <w:b/>
          <w:bCs/>
        </w:rPr>
      </w:pPr>
      <w:r w:rsidRPr="004747AE">
        <w:rPr>
          <w:rFonts w:ascii="Cera Pro Macmillan" w:hAnsi="Cera Pro Macmillan" w:cstheme="minorHAnsi"/>
          <w:b/>
          <w:bCs/>
        </w:rPr>
        <w:t>M</w:t>
      </w:r>
      <w:r w:rsidR="00E44CDA" w:rsidRPr="004747AE">
        <w:rPr>
          <w:rFonts w:ascii="Cera Pro Macmillan" w:hAnsi="Cera Pro Macmillan" w:cstheme="minorHAnsi"/>
          <w:b/>
          <w:bCs/>
        </w:rPr>
        <w:t xml:space="preserve">ainstreaming </w:t>
      </w:r>
    </w:p>
    <w:p w14:paraId="71D08D8D" w14:textId="77777777" w:rsidR="00E44CDA" w:rsidRPr="00870067" w:rsidRDefault="00E44CDA" w:rsidP="00E44CDA">
      <w:pPr>
        <w:rPr>
          <w:rFonts w:ascii="Cera Pro Macmillan" w:hAnsi="Cera Pro Macmillan" w:cstheme="minorHAnsi"/>
        </w:rPr>
      </w:pPr>
    </w:p>
    <w:p w14:paraId="68D356C1" w14:textId="2B0749E5"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This is a simple blood test that can be ordered by the </w:t>
      </w:r>
      <w:r w:rsidR="0078781E">
        <w:rPr>
          <w:rFonts w:ascii="Cera Pro Macmillan" w:hAnsi="Cera Pro Macmillan" w:cstheme="minorHAnsi"/>
        </w:rPr>
        <w:t>Gynae</w:t>
      </w:r>
      <w:r w:rsidRPr="00870067">
        <w:rPr>
          <w:rFonts w:ascii="Cera Pro Macmillan" w:hAnsi="Cera Pro Macmillan" w:cstheme="minorHAnsi"/>
        </w:rPr>
        <w:t xml:space="preserve"> Cancer Team instead of being outsourced/referred onto the separate clinical genetics team. This speeds up results, reduces the number of </w:t>
      </w:r>
      <w:r w:rsidR="00636494">
        <w:rPr>
          <w:rFonts w:ascii="Cera Pro Macmillan" w:hAnsi="Cera Pro Macmillan" w:cstheme="minorHAnsi"/>
        </w:rPr>
        <w:t>healthcare professionals</w:t>
      </w:r>
      <w:r w:rsidRPr="00870067">
        <w:rPr>
          <w:rFonts w:ascii="Cera Pro Macmillan" w:hAnsi="Cera Pro Macmillan" w:cstheme="minorHAnsi"/>
        </w:rPr>
        <w:t xml:space="preserve"> the patient has to interact with and hospital appointments they have to navigate during a stressful time, and ensures they access relevant treatment in a timely manner based on their results. </w:t>
      </w:r>
    </w:p>
    <w:p w14:paraId="0EB416B0" w14:textId="77777777" w:rsidR="00E44CDA" w:rsidRPr="00870067" w:rsidRDefault="00E44CDA" w:rsidP="00E44CDA">
      <w:pPr>
        <w:rPr>
          <w:rFonts w:ascii="Cera Pro Macmillan" w:hAnsi="Cera Pro Macmillan" w:cstheme="minorHAnsi"/>
        </w:rPr>
      </w:pPr>
    </w:p>
    <w:p w14:paraId="2D6A420F" w14:textId="77777777" w:rsidR="00E44CDA" w:rsidRPr="00870067" w:rsidRDefault="00E44CDA" w:rsidP="00E44CDA">
      <w:pPr>
        <w:rPr>
          <w:rFonts w:ascii="Cera Pro Macmillan" w:hAnsi="Cera Pro Macmillan" w:cstheme="minorHAnsi"/>
        </w:rPr>
      </w:pPr>
    </w:p>
    <w:p w14:paraId="60750726" w14:textId="1BE61176" w:rsidR="00E44CDA" w:rsidRPr="000B6CFC" w:rsidRDefault="00E44CDA" w:rsidP="00E44CDA">
      <w:pPr>
        <w:rPr>
          <w:rFonts w:ascii="Cera Pro Macmillan" w:hAnsi="Cera Pro Macmillan" w:cstheme="minorHAnsi"/>
          <w:b/>
          <w:bCs/>
        </w:rPr>
      </w:pPr>
      <w:r w:rsidRPr="000B6CFC">
        <w:rPr>
          <w:rFonts w:ascii="Cera Pro Macmillan" w:hAnsi="Cera Pro Macmillan" w:cstheme="minorHAnsi"/>
          <w:b/>
          <w:bCs/>
        </w:rPr>
        <w:t xml:space="preserve">Clinic </w:t>
      </w:r>
      <w:r w:rsidR="00251F51" w:rsidRPr="000B6CFC">
        <w:rPr>
          <w:rFonts w:ascii="Cera Pro Macmillan" w:hAnsi="Cera Pro Macmillan" w:cstheme="minorHAnsi"/>
          <w:b/>
          <w:bCs/>
        </w:rPr>
        <w:t>Set Up Requirements</w:t>
      </w:r>
      <w:r w:rsidRPr="000B6CFC">
        <w:rPr>
          <w:rFonts w:ascii="Cera Pro Macmillan" w:hAnsi="Cera Pro Macmillan" w:cstheme="minorHAnsi"/>
          <w:b/>
          <w:bCs/>
        </w:rPr>
        <w:t xml:space="preserve"> </w:t>
      </w:r>
    </w:p>
    <w:p w14:paraId="1CE50781" w14:textId="77777777" w:rsidR="003C73DE" w:rsidRPr="00870067" w:rsidRDefault="003C73DE" w:rsidP="00E44CDA">
      <w:pPr>
        <w:rPr>
          <w:rFonts w:ascii="Cera Pro Macmillan" w:hAnsi="Cera Pro Macmillan" w:cstheme="minorHAnsi"/>
        </w:rPr>
      </w:pPr>
    </w:p>
    <w:p w14:paraId="04A02482" w14:textId="28F04C39" w:rsidR="00E44CDA" w:rsidRDefault="00023613" w:rsidP="00E44CDA">
      <w:pPr>
        <w:rPr>
          <w:rFonts w:ascii="Cera Pro Macmillan" w:hAnsi="Cera Pro Macmillan" w:cstheme="minorHAnsi"/>
        </w:rPr>
      </w:pPr>
      <w:r>
        <w:rPr>
          <w:rFonts w:ascii="Cera Pro Macmillan" w:hAnsi="Cera Pro Macmillan" w:cstheme="minorHAnsi"/>
        </w:rPr>
        <w:t xml:space="preserve">Although this can be added to the </w:t>
      </w:r>
      <w:r w:rsidR="0078781E">
        <w:rPr>
          <w:rFonts w:ascii="Cera Pro Macmillan" w:hAnsi="Cera Pro Macmillan" w:cstheme="minorHAnsi"/>
        </w:rPr>
        <w:t xml:space="preserve">Gynae </w:t>
      </w:r>
      <w:r>
        <w:rPr>
          <w:rFonts w:ascii="Cera Pro Macmillan" w:hAnsi="Cera Pro Macmillan" w:cstheme="minorHAnsi"/>
        </w:rPr>
        <w:t>CNS’s portfolio of activity, to</w:t>
      </w:r>
      <w:r w:rsidR="00206B69">
        <w:rPr>
          <w:rFonts w:ascii="Cera Pro Macmillan" w:hAnsi="Cera Pro Macmillan" w:cstheme="minorHAnsi"/>
        </w:rPr>
        <w:t xml:space="preserve"> ensure a sustainable model, i</w:t>
      </w:r>
      <w:r w:rsidR="00E44CDA" w:rsidRPr="00870067">
        <w:rPr>
          <w:rFonts w:ascii="Cera Pro Macmillan" w:hAnsi="Cera Pro Macmillan" w:cstheme="minorHAnsi"/>
        </w:rPr>
        <w:t xml:space="preserve">t is recommended that the service is set-up </w:t>
      </w:r>
      <w:r w:rsidR="00206B69">
        <w:rPr>
          <w:rFonts w:ascii="Cera Pro Macmillan" w:hAnsi="Cera Pro Macmillan" w:cstheme="minorHAnsi"/>
        </w:rPr>
        <w:t xml:space="preserve">as a separate </w:t>
      </w:r>
      <w:r w:rsidR="00E44CDA" w:rsidRPr="00870067">
        <w:rPr>
          <w:rFonts w:ascii="Cera Pro Macmillan" w:hAnsi="Cera Pro Macmillan" w:cstheme="minorHAnsi"/>
        </w:rPr>
        <w:t xml:space="preserve">clinic to </w:t>
      </w:r>
      <w:r w:rsidR="00206B69">
        <w:rPr>
          <w:rFonts w:ascii="Cera Pro Macmillan" w:hAnsi="Cera Pro Macmillan" w:cstheme="minorHAnsi"/>
        </w:rPr>
        <w:t>en</w:t>
      </w:r>
      <w:r w:rsidR="00E44CDA" w:rsidRPr="00870067">
        <w:rPr>
          <w:rFonts w:ascii="Cera Pro Macmillan" w:hAnsi="Cera Pro Macmillan" w:cstheme="minorHAnsi"/>
        </w:rPr>
        <w:t xml:space="preserve">able </w:t>
      </w:r>
      <w:r w:rsidR="00206B69">
        <w:rPr>
          <w:rFonts w:ascii="Cera Pro Macmillan" w:hAnsi="Cera Pro Macmillan" w:cstheme="minorHAnsi"/>
        </w:rPr>
        <w:t>tracking of</w:t>
      </w:r>
      <w:r w:rsidR="00E44CDA" w:rsidRPr="00870067">
        <w:rPr>
          <w:rFonts w:ascii="Cera Pro Macmillan" w:hAnsi="Cera Pro Macmillan" w:cstheme="minorHAnsi"/>
        </w:rPr>
        <w:t xml:space="preserve"> </w:t>
      </w:r>
      <w:r w:rsidR="00206B69">
        <w:rPr>
          <w:rFonts w:ascii="Cera Pro Macmillan" w:hAnsi="Cera Pro Macmillan" w:cstheme="minorHAnsi"/>
        </w:rPr>
        <w:t xml:space="preserve">genomics-related </w:t>
      </w:r>
      <w:r w:rsidR="00E44CDA" w:rsidRPr="00870067">
        <w:rPr>
          <w:rFonts w:ascii="Cera Pro Macmillan" w:hAnsi="Cera Pro Macmillan" w:cstheme="minorHAnsi"/>
        </w:rPr>
        <w:t xml:space="preserve">activity within </w:t>
      </w:r>
      <w:r w:rsidR="00206B69">
        <w:rPr>
          <w:rFonts w:ascii="Cera Pro Macmillan" w:hAnsi="Cera Pro Macmillan" w:cstheme="minorHAnsi"/>
        </w:rPr>
        <w:t>the</w:t>
      </w:r>
      <w:r w:rsidR="00E44CDA" w:rsidRPr="00870067">
        <w:rPr>
          <w:rFonts w:ascii="Cera Pro Macmillan" w:hAnsi="Cera Pro Macmillan" w:cstheme="minorHAnsi"/>
        </w:rPr>
        <w:t xml:space="preserve"> MDT</w:t>
      </w:r>
      <w:r w:rsidR="000B6CFC">
        <w:rPr>
          <w:rFonts w:ascii="Cera Pro Macmillan" w:hAnsi="Cera Pro Macmillan" w:cstheme="minorHAnsi"/>
        </w:rPr>
        <w:t>, for clinical governance, budgeting,</w:t>
      </w:r>
      <w:r w:rsidR="00E44CDA" w:rsidRPr="00870067">
        <w:rPr>
          <w:rFonts w:ascii="Cera Pro Macmillan" w:hAnsi="Cera Pro Macmillan" w:cstheme="minorHAnsi"/>
        </w:rPr>
        <w:t xml:space="preserve"> </w:t>
      </w:r>
      <w:r w:rsidR="000B6CFC">
        <w:rPr>
          <w:rFonts w:ascii="Cera Pro Macmillan" w:hAnsi="Cera Pro Macmillan" w:cstheme="minorHAnsi"/>
        </w:rPr>
        <w:t xml:space="preserve">and </w:t>
      </w:r>
      <w:r w:rsidR="00E44CDA" w:rsidRPr="00870067">
        <w:rPr>
          <w:rFonts w:ascii="Cera Pro Macmillan" w:hAnsi="Cera Pro Macmillan" w:cstheme="minorHAnsi"/>
        </w:rPr>
        <w:t xml:space="preserve">auditing. </w:t>
      </w:r>
    </w:p>
    <w:p w14:paraId="6CC847A2" w14:textId="77777777" w:rsidR="00251F51" w:rsidRPr="00870067" w:rsidRDefault="00251F51" w:rsidP="00E44CDA">
      <w:pPr>
        <w:rPr>
          <w:rFonts w:ascii="Cera Pro Macmillan" w:hAnsi="Cera Pro Macmillan" w:cstheme="minorHAnsi"/>
        </w:rPr>
      </w:pPr>
    </w:p>
    <w:p w14:paraId="0EA551B1" w14:textId="627C8288" w:rsidR="00E44CDA" w:rsidRPr="00870067" w:rsidRDefault="00E44CDA" w:rsidP="00E44CDA">
      <w:pPr>
        <w:rPr>
          <w:rFonts w:ascii="Cera Pro Macmillan" w:hAnsi="Cera Pro Macmillan" w:cstheme="minorHAnsi"/>
        </w:rPr>
      </w:pPr>
      <w:r w:rsidRPr="00870067">
        <w:rPr>
          <w:rFonts w:ascii="Cera Pro Macmillan" w:hAnsi="Cera Pro Macmillan" w:cstheme="minorHAnsi"/>
        </w:rPr>
        <w:t xml:space="preserve">The initial consultation </w:t>
      </w:r>
      <w:r w:rsidR="004710D1">
        <w:rPr>
          <w:rFonts w:ascii="Cera Pro Macmillan" w:hAnsi="Cera Pro Macmillan" w:cstheme="minorHAnsi"/>
        </w:rPr>
        <w:t>should</w:t>
      </w:r>
      <w:r w:rsidRPr="00870067">
        <w:rPr>
          <w:rFonts w:ascii="Cera Pro Macmillan" w:hAnsi="Cera Pro Macmillan" w:cstheme="minorHAnsi"/>
        </w:rPr>
        <w:t xml:space="preserve"> be booked as a “new appointment” and </w:t>
      </w:r>
      <w:r w:rsidR="004710D1">
        <w:rPr>
          <w:rFonts w:ascii="Cera Pro Macmillan" w:hAnsi="Cera Pro Macmillan" w:cstheme="minorHAnsi"/>
        </w:rPr>
        <w:t>can</w:t>
      </w:r>
      <w:r w:rsidRPr="00870067">
        <w:rPr>
          <w:rFonts w:ascii="Cera Pro Macmillan" w:hAnsi="Cera Pro Macmillan" w:cstheme="minorHAnsi"/>
        </w:rPr>
        <w:t xml:space="preserve"> have a duration of 30-45 minutes plus an additional 15 minutes </w:t>
      </w:r>
      <w:r w:rsidR="004A66F6">
        <w:rPr>
          <w:rFonts w:ascii="Cera Pro Macmillan" w:hAnsi="Cera Pro Macmillan" w:cstheme="minorHAnsi"/>
        </w:rPr>
        <w:t>for administrative tasks associated with the appointment.</w:t>
      </w:r>
      <w:r w:rsidR="00870983">
        <w:rPr>
          <w:rFonts w:ascii="Cera Pro Macmillan" w:hAnsi="Cera Pro Macmillan" w:cstheme="minorHAnsi"/>
        </w:rPr>
        <w:t xml:space="preserve"> Face-to-face or remote appointments are appropriate. If conducted remotely, a follow-up appointment will need to be booked to allow for signing consent and blood sampling.</w:t>
      </w:r>
      <w:r w:rsidR="004A66F6">
        <w:rPr>
          <w:rFonts w:ascii="Cera Pro Macmillan" w:hAnsi="Cera Pro Macmillan" w:cstheme="minorHAnsi"/>
        </w:rPr>
        <w:t xml:space="preserve"> </w:t>
      </w:r>
      <w:r w:rsidRPr="00870067">
        <w:rPr>
          <w:rFonts w:ascii="Cera Pro Macmillan" w:hAnsi="Cera Pro Macmillan" w:cstheme="minorHAnsi"/>
        </w:rPr>
        <w:t xml:space="preserve">The first consultation </w:t>
      </w:r>
      <w:r w:rsidR="004A66F6">
        <w:rPr>
          <w:rFonts w:ascii="Cera Pro Macmillan" w:hAnsi="Cera Pro Macmillan" w:cstheme="minorHAnsi"/>
        </w:rPr>
        <w:t>can</w:t>
      </w:r>
      <w:r w:rsidRPr="00870067">
        <w:rPr>
          <w:rFonts w:ascii="Cera Pro Macmillan" w:hAnsi="Cera Pro Macmillan" w:cstheme="minorHAnsi"/>
        </w:rPr>
        <w:t xml:space="preserve"> include: </w:t>
      </w:r>
    </w:p>
    <w:p w14:paraId="3C89CEF5" w14:textId="77777777" w:rsidR="00251F51" w:rsidRDefault="00251F51" w:rsidP="00E44CDA">
      <w:pPr>
        <w:rPr>
          <w:rFonts w:ascii="Cera Pro Macmillan" w:hAnsi="Cera Pro Macmillan" w:cstheme="minorHAnsi"/>
        </w:rPr>
      </w:pPr>
    </w:p>
    <w:p w14:paraId="773BAB32" w14:textId="38A13A24" w:rsidR="00E44CDA" w:rsidRPr="004A66F6" w:rsidRDefault="004A66F6" w:rsidP="004A66F6">
      <w:pPr>
        <w:pStyle w:val="ListParagraph"/>
        <w:numPr>
          <w:ilvl w:val="0"/>
          <w:numId w:val="3"/>
        </w:numPr>
        <w:rPr>
          <w:rFonts w:ascii="Cera Pro Macmillan" w:hAnsi="Cera Pro Macmillan" w:cstheme="minorHAnsi"/>
        </w:rPr>
      </w:pPr>
      <w:r>
        <w:rPr>
          <w:rFonts w:ascii="Cera Pro Macmillan" w:hAnsi="Cera Pro Macmillan" w:cstheme="minorHAnsi"/>
        </w:rPr>
        <w:t>D</w:t>
      </w:r>
      <w:r w:rsidR="00E44CDA" w:rsidRPr="004A66F6">
        <w:rPr>
          <w:rFonts w:ascii="Cera Pro Macmillan" w:hAnsi="Cera Pro Macmillan" w:cstheme="minorHAnsi"/>
        </w:rPr>
        <w:t xml:space="preserve">rawing a detailed family pedigree </w:t>
      </w:r>
    </w:p>
    <w:p w14:paraId="47238A56" w14:textId="260907CD" w:rsidR="00E44CDA" w:rsidRPr="001B4329" w:rsidRDefault="004A66F6" w:rsidP="001B4329">
      <w:pPr>
        <w:pStyle w:val="ListParagraph"/>
        <w:numPr>
          <w:ilvl w:val="0"/>
          <w:numId w:val="3"/>
        </w:numPr>
        <w:rPr>
          <w:rFonts w:ascii="Cera Pro Macmillan" w:hAnsi="Cera Pro Macmillan" w:cstheme="minorHAnsi"/>
        </w:rPr>
      </w:pPr>
      <w:r>
        <w:rPr>
          <w:rFonts w:ascii="Cera Pro Macmillan" w:hAnsi="Cera Pro Macmillan" w:cstheme="minorHAnsi"/>
        </w:rPr>
        <w:t>Taking i</w:t>
      </w:r>
      <w:r w:rsidR="00E44CDA" w:rsidRPr="004A66F6">
        <w:rPr>
          <w:rFonts w:ascii="Cera Pro Macmillan" w:hAnsi="Cera Pro Macmillan" w:cstheme="minorHAnsi"/>
        </w:rPr>
        <w:t>nform</w:t>
      </w:r>
      <w:r>
        <w:rPr>
          <w:rFonts w:ascii="Cera Pro Macmillan" w:hAnsi="Cera Pro Macmillan" w:cstheme="minorHAnsi"/>
        </w:rPr>
        <w:t>ed</w:t>
      </w:r>
      <w:r w:rsidR="00E44CDA" w:rsidRPr="004A66F6">
        <w:rPr>
          <w:rFonts w:ascii="Cera Pro Macmillan" w:hAnsi="Cera Pro Macmillan" w:cstheme="minorHAnsi"/>
        </w:rPr>
        <w:t xml:space="preserve"> consent </w:t>
      </w:r>
      <w:r w:rsidR="001B4329">
        <w:rPr>
          <w:rFonts w:ascii="Cera Pro Macmillan" w:hAnsi="Cera Pro Macmillan" w:cstheme="minorHAnsi"/>
        </w:rPr>
        <w:t>(</w:t>
      </w:r>
      <w:r w:rsidR="001B4329" w:rsidRPr="001B4329">
        <w:rPr>
          <w:rFonts w:ascii="Cera Pro Macmillan" w:hAnsi="Cera Pro Macmillan" w:cstheme="minorHAnsi"/>
          <w:i/>
          <w:iCs/>
        </w:rPr>
        <w:t>unless the patient requires more time to consider</w:t>
      </w:r>
      <w:r w:rsidR="001B4329">
        <w:rPr>
          <w:rFonts w:ascii="Cera Pro Macmillan" w:hAnsi="Cera Pro Macmillan" w:cstheme="minorHAnsi"/>
        </w:rPr>
        <w:t>).</w:t>
      </w:r>
    </w:p>
    <w:p w14:paraId="397ED1BF" w14:textId="5A289F09" w:rsidR="00E44CDA" w:rsidRPr="004A66F6" w:rsidRDefault="004A66F6" w:rsidP="004A66F6">
      <w:pPr>
        <w:pStyle w:val="ListParagraph"/>
        <w:numPr>
          <w:ilvl w:val="0"/>
          <w:numId w:val="3"/>
        </w:numPr>
        <w:rPr>
          <w:rFonts w:ascii="Cera Pro Macmillan" w:hAnsi="Cera Pro Macmillan" w:cstheme="minorHAnsi"/>
        </w:rPr>
      </w:pPr>
      <w:r>
        <w:rPr>
          <w:rFonts w:ascii="Cera Pro Macmillan" w:hAnsi="Cera Pro Macmillan" w:cstheme="minorHAnsi"/>
        </w:rPr>
        <w:t>F</w:t>
      </w:r>
      <w:r w:rsidR="00E44CDA" w:rsidRPr="004A66F6">
        <w:rPr>
          <w:rFonts w:ascii="Cera Pro Macmillan" w:hAnsi="Cera Pro Macmillan" w:cstheme="minorHAnsi"/>
        </w:rPr>
        <w:t xml:space="preserve">illing in the genetics request form </w:t>
      </w:r>
    </w:p>
    <w:p w14:paraId="51415152" w14:textId="7A172393" w:rsidR="00E44CDA" w:rsidRPr="004A66F6" w:rsidRDefault="004A66F6" w:rsidP="004A66F6">
      <w:pPr>
        <w:pStyle w:val="ListParagraph"/>
        <w:numPr>
          <w:ilvl w:val="0"/>
          <w:numId w:val="3"/>
        </w:numPr>
        <w:rPr>
          <w:rFonts w:ascii="Cera Pro Macmillan" w:hAnsi="Cera Pro Macmillan" w:cstheme="minorHAnsi"/>
        </w:rPr>
      </w:pPr>
      <w:r>
        <w:rPr>
          <w:rFonts w:ascii="Cera Pro Macmillan" w:hAnsi="Cera Pro Macmillan" w:cstheme="minorHAnsi"/>
        </w:rPr>
        <w:t>T</w:t>
      </w:r>
      <w:r w:rsidR="00E44CDA" w:rsidRPr="004A66F6">
        <w:rPr>
          <w:rFonts w:ascii="Cera Pro Macmillan" w:hAnsi="Cera Pro Macmillan" w:cstheme="minorHAnsi"/>
        </w:rPr>
        <w:t xml:space="preserve">aking a blood sample </w:t>
      </w:r>
      <w:r w:rsidR="001B4329">
        <w:rPr>
          <w:rFonts w:ascii="Cera Pro Macmillan" w:hAnsi="Cera Pro Macmillan" w:cstheme="minorHAnsi"/>
        </w:rPr>
        <w:t>(</w:t>
      </w:r>
      <w:r w:rsidR="001B4329" w:rsidRPr="001B4329">
        <w:rPr>
          <w:rFonts w:ascii="Cera Pro Macmillan" w:hAnsi="Cera Pro Macmillan" w:cstheme="minorHAnsi"/>
          <w:i/>
          <w:iCs/>
        </w:rPr>
        <w:t>unless the patient requires more time to consider</w:t>
      </w:r>
      <w:r w:rsidR="001B4329">
        <w:rPr>
          <w:rFonts w:ascii="Cera Pro Macmillan" w:hAnsi="Cera Pro Macmillan" w:cstheme="minorHAnsi"/>
        </w:rPr>
        <w:t>).</w:t>
      </w:r>
    </w:p>
    <w:p w14:paraId="51D994D3" w14:textId="7D100DE8" w:rsidR="00E44CDA" w:rsidRPr="004A66F6" w:rsidRDefault="004A66F6" w:rsidP="004A66F6">
      <w:pPr>
        <w:pStyle w:val="ListParagraph"/>
        <w:numPr>
          <w:ilvl w:val="0"/>
          <w:numId w:val="3"/>
        </w:numPr>
        <w:rPr>
          <w:rFonts w:ascii="Cera Pro Macmillan" w:hAnsi="Cera Pro Macmillan" w:cstheme="minorHAnsi"/>
        </w:rPr>
      </w:pPr>
      <w:r>
        <w:rPr>
          <w:rFonts w:ascii="Cera Pro Macmillan" w:hAnsi="Cera Pro Macmillan" w:cstheme="minorHAnsi"/>
        </w:rPr>
        <w:t>S</w:t>
      </w:r>
      <w:r w:rsidR="00E44CDA" w:rsidRPr="004A66F6">
        <w:rPr>
          <w:rFonts w:ascii="Cera Pro Macmillan" w:hAnsi="Cera Pro Macmillan" w:cstheme="minorHAnsi"/>
        </w:rPr>
        <w:t xml:space="preserve">end away for genetic testing. </w:t>
      </w:r>
    </w:p>
    <w:p w14:paraId="232F3AEC" w14:textId="77777777" w:rsidR="00E44CDA" w:rsidRPr="00870067" w:rsidRDefault="00E44CDA" w:rsidP="00E44CDA">
      <w:pPr>
        <w:rPr>
          <w:rFonts w:ascii="Cera Pro Macmillan" w:hAnsi="Cera Pro Macmillan" w:cstheme="minorHAnsi"/>
        </w:rPr>
      </w:pPr>
    </w:p>
    <w:p w14:paraId="65F42229" w14:textId="6A2E22FE" w:rsidR="00E44CDA" w:rsidRDefault="00E44CDA" w:rsidP="00E44CDA">
      <w:pPr>
        <w:rPr>
          <w:rFonts w:ascii="Cera Pro Macmillan" w:hAnsi="Cera Pro Macmillan" w:cstheme="minorHAnsi"/>
        </w:rPr>
      </w:pPr>
      <w:r w:rsidRPr="00870067">
        <w:rPr>
          <w:rFonts w:ascii="Cera Pro Macmillan" w:hAnsi="Cera Pro Macmillan" w:cstheme="minorHAnsi"/>
        </w:rPr>
        <w:t>The s</w:t>
      </w:r>
      <w:r w:rsidR="00BB2FC9">
        <w:rPr>
          <w:rFonts w:ascii="Cera Pro Macmillan" w:hAnsi="Cera Pro Macmillan" w:cstheme="minorHAnsi"/>
        </w:rPr>
        <w:t xml:space="preserve">ubsequent </w:t>
      </w:r>
      <w:r w:rsidR="00870983">
        <w:rPr>
          <w:rFonts w:ascii="Cera Pro Macmillan" w:hAnsi="Cera Pro Macmillan" w:cstheme="minorHAnsi"/>
        </w:rPr>
        <w:t>c</w:t>
      </w:r>
      <w:r w:rsidRPr="00870067">
        <w:rPr>
          <w:rFonts w:ascii="Cera Pro Macmillan" w:hAnsi="Cera Pro Macmillan" w:cstheme="minorHAnsi"/>
        </w:rPr>
        <w:t>onsultation</w:t>
      </w:r>
      <w:r w:rsidR="00BB2FC9">
        <w:rPr>
          <w:rFonts w:ascii="Cera Pro Macmillan" w:hAnsi="Cera Pro Macmillan" w:cstheme="minorHAnsi"/>
        </w:rPr>
        <w:t>(s)</w:t>
      </w:r>
      <w:r w:rsidRPr="00870067">
        <w:rPr>
          <w:rFonts w:ascii="Cera Pro Macmillan" w:hAnsi="Cera Pro Macmillan" w:cstheme="minorHAnsi"/>
        </w:rPr>
        <w:t xml:space="preserve"> </w:t>
      </w:r>
      <w:r w:rsidR="00BB2FC9">
        <w:rPr>
          <w:rFonts w:ascii="Cera Pro Macmillan" w:hAnsi="Cera Pro Macmillan" w:cstheme="minorHAnsi"/>
        </w:rPr>
        <w:t>can</w:t>
      </w:r>
      <w:r w:rsidRPr="00870067">
        <w:rPr>
          <w:rFonts w:ascii="Cera Pro Macmillan" w:hAnsi="Cera Pro Macmillan" w:cstheme="minorHAnsi"/>
        </w:rPr>
        <w:t xml:space="preserve"> be booked as follow-up</w:t>
      </w:r>
      <w:r w:rsidR="00BB2FC9">
        <w:rPr>
          <w:rFonts w:ascii="Cera Pro Macmillan" w:hAnsi="Cera Pro Macmillan" w:cstheme="minorHAnsi"/>
        </w:rPr>
        <w:t>s</w:t>
      </w:r>
      <w:r w:rsidRPr="00870067">
        <w:rPr>
          <w:rFonts w:ascii="Cera Pro Macmillan" w:hAnsi="Cera Pro Macmillan" w:cstheme="minorHAnsi"/>
        </w:rPr>
        <w:t xml:space="preserve"> and </w:t>
      </w:r>
      <w:r w:rsidR="00BB2FC9">
        <w:rPr>
          <w:rFonts w:ascii="Cera Pro Macmillan" w:hAnsi="Cera Pro Macmillan" w:cstheme="minorHAnsi"/>
        </w:rPr>
        <w:t>can</w:t>
      </w:r>
      <w:r w:rsidRPr="00870067">
        <w:rPr>
          <w:rFonts w:ascii="Cera Pro Macmillan" w:hAnsi="Cera Pro Macmillan" w:cstheme="minorHAnsi"/>
        </w:rPr>
        <w:t xml:space="preserve"> have a duration of 20 minutes plus an additional 10 minutes</w:t>
      </w:r>
      <w:r w:rsidR="00BB2FC9">
        <w:rPr>
          <w:rFonts w:ascii="Cera Pro Macmillan" w:hAnsi="Cera Pro Macmillan" w:cstheme="minorHAnsi"/>
        </w:rPr>
        <w:t xml:space="preserve"> (30 min total)</w:t>
      </w:r>
      <w:r w:rsidRPr="00870067">
        <w:rPr>
          <w:rFonts w:ascii="Cera Pro Macmillan" w:hAnsi="Cera Pro Macmillan" w:cstheme="minorHAnsi"/>
        </w:rPr>
        <w:t xml:space="preserve"> </w:t>
      </w:r>
      <w:r w:rsidR="00870983">
        <w:rPr>
          <w:rFonts w:ascii="Cera Pro Macmillan" w:hAnsi="Cera Pro Macmillan" w:cstheme="minorHAnsi"/>
        </w:rPr>
        <w:t xml:space="preserve">for </w:t>
      </w:r>
      <w:r w:rsidR="00BB2FC9">
        <w:rPr>
          <w:rFonts w:ascii="Cera Pro Macmillan" w:hAnsi="Cera Pro Macmillan" w:cstheme="minorHAnsi"/>
        </w:rPr>
        <w:t xml:space="preserve">administrative tasks associated with the appointment. </w:t>
      </w:r>
      <w:r w:rsidR="00870983">
        <w:rPr>
          <w:rFonts w:ascii="Cera Pro Macmillan" w:hAnsi="Cera Pro Macmillan" w:cstheme="minorHAnsi"/>
        </w:rPr>
        <w:t>Face-to-face or virtual/telephone appointments are appropriate.</w:t>
      </w:r>
    </w:p>
    <w:p w14:paraId="2633DE45" w14:textId="77777777" w:rsidR="00BB2FC9" w:rsidRPr="00870067" w:rsidRDefault="00BB2FC9" w:rsidP="00E44CDA">
      <w:pPr>
        <w:rPr>
          <w:rFonts w:ascii="Cera Pro Macmillan" w:hAnsi="Cera Pro Macmillan" w:cstheme="minorHAnsi"/>
        </w:rPr>
      </w:pPr>
    </w:p>
    <w:p w14:paraId="61CF6219" w14:textId="40AB022B" w:rsidR="00E44CDA" w:rsidRPr="00870983" w:rsidRDefault="00870983" w:rsidP="00870983">
      <w:pPr>
        <w:pStyle w:val="ListParagraph"/>
        <w:numPr>
          <w:ilvl w:val="0"/>
          <w:numId w:val="4"/>
        </w:numPr>
        <w:rPr>
          <w:rFonts w:ascii="Cera Pro Macmillan" w:hAnsi="Cera Pro Macmillan" w:cstheme="minorHAnsi"/>
        </w:rPr>
      </w:pPr>
      <w:r w:rsidRPr="00870983">
        <w:rPr>
          <w:rFonts w:ascii="Cera Pro Macmillan" w:hAnsi="Cera Pro Macmillan" w:cstheme="minorHAnsi"/>
        </w:rPr>
        <w:t>D</w:t>
      </w:r>
      <w:r w:rsidR="00E44CDA" w:rsidRPr="00870983">
        <w:rPr>
          <w:rFonts w:ascii="Cera Pro Macmillan" w:hAnsi="Cera Pro Macmillan" w:cstheme="minorHAnsi"/>
        </w:rPr>
        <w:t xml:space="preserve">iscussing the results with the patient </w:t>
      </w:r>
    </w:p>
    <w:p w14:paraId="6BF345CD" w14:textId="76A7F5C4" w:rsidR="00E44CDA" w:rsidRPr="00870983" w:rsidRDefault="00870983" w:rsidP="00870983">
      <w:pPr>
        <w:pStyle w:val="ListParagraph"/>
        <w:numPr>
          <w:ilvl w:val="0"/>
          <w:numId w:val="4"/>
        </w:numPr>
        <w:rPr>
          <w:rFonts w:ascii="Cera Pro Macmillan" w:hAnsi="Cera Pro Macmillan" w:cstheme="minorHAnsi"/>
        </w:rPr>
      </w:pPr>
      <w:r w:rsidRPr="00870983">
        <w:rPr>
          <w:rFonts w:ascii="Cera Pro Macmillan" w:hAnsi="Cera Pro Macmillan" w:cstheme="minorHAnsi"/>
        </w:rPr>
        <w:t>R</w:t>
      </w:r>
      <w:r w:rsidR="00E44CDA" w:rsidRPr="00870983">
        <w:rPr>
          <w:rFonts w:ascii="Cera Pro Macmillan" w:hAnsi="Cera Pro Macmillan" w:cstheme="minorHAnsi"/>
        </w:rPr>
        <w:t xml:space="preserve">eferring the patient to the clinical genetics department for future management </w:t>
      </w:r>
    </w:p>
    <w:p w14:paraId="6EC9B8D0" w14:textId="77777777" w:rsidR="00E44CDA" w:rsidRPr="00870067" w:rsidRDefault="00E44CDA" w:rsidP="00E44CDA">
      <w:pPr>
        <w:rPr>
          <w:rFonts w:ascii="Cera Pro Macmillan" w:hAnsi="Cera Pro Macmillan" w:cstheme="minorHAnsi"/>
        </w:rPr>
      </w:pPr>
    </w:p>
    <w:p w14:paraId="655996F9" w14:textId="77777777" w:rsidR="00AB6CDB" w:rsidRPr="00AB6CDB" w:rsidRDefault="00AB6CDB" w:rsidP="00AB6CDB">
      <w:pPr>
        <w:autoSpaceDE w:val="0"/>
        <w:autoSpaceDN w:val="0"/>
        <w:adjustRightInd w:val="0"/>
        <w:rPr>
          <w:rFonts w:ascii="Cera Pro Macmillan" w:hAnsi="Cera Pro Macmillan"/>
          <w:color w:val="000000"/>
          <w:lang w:eastAsia="en-US"/>
        </w:rPr>
      </w:pPr>
      <w:r w:rsidRPr="00AB6CDB">
        <w:rPr>
          <w:rFonts w:ascii="Cera Pro Macmillan" w:hAnsi="Cera Pro Macmillan"/>
          <w:b/>
          <w:bCs/>
          <w:color w:val="000000"/>
          <w:lang w:eastAsia="en-US"/>
        </w:rPr>
        <w:t xml:space="preserve">Step-by-step set up recommendations: </w:t>
      </w:r>
    </w:p>
    <w:p w14:paraId="20746AE0" w14:textId="77777777" w:rsidR="00AB6CDB" w:rsidRDefault="00AB6CDB" w:rsidP="00AB6CDB">
      <w:pPr>
        <w:autoSpaceDE w:val="0"/>
        <w:autoSpaceDN w:val="0"/>
        <w:adjustRightInd w:val="0"/>
        <w:rPr>
          <w:rFonts w:ascii="Cera Pro Macmillan" w:hAnsi="Cera Pro Macmillan"/>
          <w:color w:val="000000"/>
          <w:lang w:eastAsia="en-US"/>
        </w:rPr>
      </w:pPr>
    </w:p>
    <w:p w14:paraId="3901B82E" w14:textId="2D34CC06" w:rsidR="00AB6CDB" w:rsidRPr="00AB6CDB" w:rsidRDefault="00AB6CDB" w:rsidP="00AB6CDB">
      <w:pPr>
        <w:autoSpaceDE w:val="0"/>
        <w:autoSpaceDN w:val="0"/>
        <w:adjustRightInd w:val="0"/>
        <w:rPr>
          <w:rFonts w:ascii="Cera Pro Macmillan" w:hAnsi="Cera Pro Macmillan"/>
          <w:color w:val="000000"/>
          <w:lang w:eastAsia="en-US"/>
        </w:rPr>
      </w:pPr>
      <w:r w:rsidRPr="00AB6CDB">
        <w:rPr>
          <w:rFonts w:ascii="Cera Pro Macmillan" w:hAnsi="Cera Pro Macmillan"/>
          <w:color w:val="000000"/>
          <w:lang w:eastAsia="en-US"/>
        </w:rPr>
        <w:t xml:space="preserve">To ensure you have the appropriate infrastructure and processes in place it is recommended that you start by: </w:t>
      </w:r>
    </w:p>
    <w:p w14:paraId="1CACFDD6" w14:textId="77777777" w:rsidR="00135164" w:rsidRDefault="00135164" w:rsidP="00135164">
      <w:pPr>
        <w:autoSpaceDE w:val="0"/>
        <w:autoSpaceDN w:val="0"/>
        <w:adjustRightInd w:val="0"/>
        <w:spacing w:after="70"/>
        <w:rPr>
          <w:rFonts w:ascii="Cera Pro Macmillan" w:hAnsi="Cera Pro Macmillan"/>
          <w:color w:val="000000"/>
          <w:lang w:eastAsia="en-US"/>
        </w:rPr>
      </w:pPr>
    </w:p>
    <w:p w14:paraId="52627027" w14:textId="77777777" w:rsidR="00BF5E6D" w:rsidRPr="00F0141C" w:rsidRDefault="00BF5E6D" w:rsidP="00BF5E6D">
      <w:pPr>
        <w:pStyle w:val="ListParagraph"/>
        <w:numPr>
          <w:ilvl w:val="0"/>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Familiarise yourself with national policy in relation to Genomics within the NHS:</w:t>
      </w:r>
    </w:p>
    <w:p w14:paraId="2575787D" w14:textId="77777777" w:rsidR="00BF5E6D" w:rsidRPr="00F0141C" w:rsidRDefault="00BF5E6D" w:rsidP="00BF5E6D">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 xml:space="preserve"> </w:t>
      </w:r>
      <w:hyperlink r:id="rId10" w:history="1">
        <w:r>
          <w:rPr>
            <w:rStyle w:val="Hyperlink"/>
          </w:rPr>
          <w:t>NHS England » NHS Genomic Medicine Service</w:t>
        </w:r>
      </w:hyperlink>
    </w:p>
    <w:p w14:paraId="269C119A" w14:textId="77777777" w:rsidR="00BF5E6D" w:rsidRPr="00A010C2" w:rsidRDefault="00000000" w:rsidP="00BF5E6D">
      <w:pPr>
        <w:pStyle w:val="ListParagraph"/>
        <w:numPr>
          <w:ilvl w:val="1"/>
          <w:numId w:val="6"/>
        </w:numPr>
        <w:autoSpaceDE w:val="0"/>
        <w:autoSpaceDN w:val="0"/>
        <w:adjustRightInd w:val="0"/>
        <w:spacing w:after="70"/>
        <w:rPr>
          <w:rFonts w:ascii="Cera Pro Macmillan" w:hAnsi="Cera Pro Macmillan"/>
          <w:color w:val="000000"/>
          <w:lang w:eastAsia="en-US"/>
        </w:rPr>
      </w:pPr>
      <w:hyperlink r:id="rId11" w:history="1">
        <w:r w:rsidR="00BF5E6D">
          <w:rPr>
            <w:rStyle w:val="Hyperlink"/>
          </w:rPr>
          <w:t>NHS England » Accelerating genomic medicine in the NHS</w:t>
        </w:r>
      </w:hyperlink>
    </w:p>
    <w:p w14:paraId="4C5C11A5" w14:textId="77777777" w:rsidR="00BF5E6D" w:rsidRPr="002A17CA" w:rsidRDefault="00000000" w:rsidP="00BF5E6D">
      <w:pPr>
        <w:pStyle w:val="ListParagraph"/>
        <w:numPr>
          <w:ilvl w:val="1"/>
          <w:numId w:val="6"/>
        </w:numPr>
        <w:autoSpaceDE w:val="0"/>
        <w:autoSpaceDN w:val="0"/>
        <w:adjustRightInd w:val="0"/>
        <w:spacing w:after="70"/>
        <w:rPr>
          <w:rFonts w:ascii="Cera Pro Macmillan" w:hAnsi="Cera Pro Macmillan"/>
          <w:color w:val="000000"/>
          <w:lang w:eastAsia="en-US"/>
        </w:rPr>
      </w:pPr>
      <w:hyperlink r:id="rId12" w:history="1">
        <w:r w:rsidR="00BF5E6D">
          <w:rPr>
            <w:rStyle w:val="Hyperlink"/>
          </w:rPr>
          <w:t>NHS Long Term Plan » The NHS Long Term Plan</w:t>
        </w:r>
      </w:hyperlink>
      <w:r w:rsidR="00BF5E6D">
        <w:t xml:space="preserve"> (see page 76).</w:t>
      </w:r>
    </w:p>
    <w:p w14:paraId="28EDDF7E" w14:textId="77777777" w:rsidR="002A17CA" w:rsidRPr="004D5D6D" w:rsidRDefault="002A17CA" w:rsidP="002A17CA">
      <w:pPr>
        <w:pStyle w:val="ListParagraph"/>
        <w:autoSpaceDE w:val="0"/>
        <w:autoSpaceDN w:val="0"/>
        <w:adjustRightInd w:val="0"/>
        <w:spacing w:after="70"/>
        <w:ind w:left="1440"/>
        <w:rPr>
          <w:rFonts w:ascii="Cera Pro Macmillan" w:hAnsi="Cera Pro Macmillan"/>
          <w:color w:val="000000"/>
          <w:lang w:eastAsia="en-US"/>
        </w:rPr>
      </w:pPr>
    </w:p>
    <w:p w14:paraId="53859C27" w14:textId="74D8784B" w:rsidR="004D5D6D" w:rsidRDefault="004D5D6D" w:rsidP="004D5D6D">
      <w:pPr>
        <w:pStyle w:val="ListParagraph"/>
        <w:numPr>
          <w:ilvl w:val="0"/>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Ensure you have completed the relevant training to feel confident and competent</w:t>
      </w:r>
      <w:r w:rsidR="003E4261">
        <w:rPr>
          <w:rFonts w:ascii="Cera Pro Macmillan" w:hAnsi="Cera Pro Macmillan"/>
          <w:color w:val="000000"/>
          <w:lang w:eastAsia="en-US"/>
        </w:rPr>
        <w:t>:</w:t>
      </w:r>
    </w:p>
    <w:p w14:paraId="22FE4926" w14:textId="5D9C0200" w:rsidR="003E4261" w:rsidRDefault="00E5646A" w:rsidP="003E4261">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Educational modules</w:t>
      </w:r>
      <w:r w:rsidR="00641688">
        <w:rPr>
          <w:rFonts w:ascii="Cera Pro Macmillan" w:hAnsi="Cera Pro Macmillan"/>
          <w:color w:val="000000"/>
          <w:lang w:eastAsia="en-US"/>
        </w:rPr>
        <w:t>.</w:t>
      </w:r>
    </w:p>
    <w:p w14:paraId="555FE0C1" w14:textId="7E88B531" w:rsidR="00E5646A" w:rsidRDefault="00E5646A" w:rsidP="003E4261">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Familiarise with test request forms</w:t>
      </w:r>
      <w:r w:rsidR="00641688">
        <w:rPr>
          <w:rFonts w:ascii="Cera Pro Macmillan" w:hAnsi="Cera Pro Macmillan"/>
          <w:color w:val="000000"/>
          <w:lang w:eastAsia="en-US"/>
        </w:rPr>
        <w:t>.</w:t>
      </w:r>
    </w:p>
    <w:p w14:paraId="090C0DFD" w14:textId="3B712441" w:rsidR="00E5646A" w:rsidRDefault="00DF4046" w:rsidP="003E4261">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 xml:space="preserve">Familiarise with </w:t>
      </w:r>
      <w:r w:rsidR="00030DDE">
        <w:rPr>
          <w:rFonts w:ascii="Cera Pro Macmillan" w:hAnsi="Cera Pro Macmillan"/>
          <w:color w:val="000000"/>
          <w:lang w:eastAsia="en-US"/>
        </w:rPr>
        <w:t>Record of Discussion</w:t>
      </w:r>
      <w:r w:rsidR="00583EE8">
        <w:rPr>
          <w:rFonts w:ascii="Cera Pro Macmillan" w:hAnsi="Cera Pro Macmillan"/>
          <w:color w:val="000000"/>
          <w:lang w:eastAsia="en-US"/>
        </w:rPr>
        <w:t xml:space="preserve"> form</w:t>
      </w:r>
      <w:r w:rsidR="00641688">
        <w:rPr>
          <w:rFonts w:ascii="Cera Pro Macmillan" w:hAnsi="Cera Pro Macmillan"/>
          <w:color w:val="000000"/>
          <w:lang w:eastAsia="en-US"/>
        </w:rPr>
        <w:t>.</w:t>
      </w:r>
    </w:p>
    <w:p w14:paraId="18C48A8F" w14:textId="2D8AA88E" w:rsidR="00DD2759" w:rsidRDefault="00641688" w:rsidP="003E4261">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Understand test result pathways: positive, negative and variant of uncertain significance.</w:t>
      </w:r>
    </w:p>
    <w:p w14:paraId="0227EF3B" w14:textId="1A9342FB" w:rsidR="00641688" w:rsidRDefault="00E12731" w:rsidP="003E4261">
      <w:pPr>
        <w:pStyle w:val="ListParagraph"/>
        <w:numPr>
          <w:ilvl w:val="1"/>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 xml:space="preserve">Ensure there is an </w:t>
      </w:r>
      <w:r w:rsidR="00A774A8">
        <w:rPr>
          <w:rFonts w:ascii="Cera Pro Macmillan" w:hAnsi="Cera Pro Macmillan"/>
          <w:color w:val="000000"/>
          <w:lang w:eastAsia="en-US"/>
        </w:rPr>
        <w:t>up-to-date</w:t>
      </w:r>
      <w:r>
        <w:rPr>
          <w:rFonts w:ascii="Cera Pro Macmillan" w:hAnsi="Cera Pro Macmillan"/>
          <w:color w:val="000000"/>
          <w:lang w:eastAsia="en-US"/>
        </w:rPr>
        <w:t xml:space="preserve"> patient information leaflet.</w:t>
      </w:r>
    </w:p>
    <w:p w14:paraId="4A78B9DD" w14:textId="77777777" w:rsidR="002A17CA" w:rsidRDefault="002A17CA" w:rsidP="002A17CA">
      <w:pPr>
        <w:pStyle w:val="ListParagraph"/>
        <w:autoSpaceDE w:val="0"/>
        <w:autoSpaceDN w:val="0"/>
        <w:adjustRightInd w:val="0"/>
        <w:spacing w:after="70"/>
        <w:rPr>
          <w:rFonts w:ascii="Cera Pro Macmillan" w:hAnsi="Cera Pro Macmillan"/>
          <w:color w:val="000000"/>
          <w:lang w:eastAsia="en-US"/>
        </w:rPr>
      </w:pPr>
    </w:p>
    <w:p w14:paraId="44A30F7A" w14:textId="0261F601" w:rsidR="004D5D6D" w:rsidRPr="00BF5E6D" w:rsidRDefault="004D5D6D" w:rsidP="004D5D6D">
      <w:pPr>
        <w:pStyle w:val="ListParagraph"/>
        <w:numPr>
          <w:ilvl w:val="0"/>
          <w:numId w:val="6"/>
        </w:numPr>
        <w:autoSpaceDE w:val="0"/>
        <w:autoSpaceDN w:val="0"/>
        <w:adjustRightInd w:val="0"/>
        <w:spacing w:after="70"/>
        <w:rPr>
          <w:rFonts w:ascii="Cera Pro Macmillan" w:hAnsi="Cera Pro Macmillan"/>
          <w:color w:val="000000"/>
          <w:lang w:eastAsia="en-US"/>
        </w:rPr>
      </w:pPr>
      <w:r>
        <w:rPr>
          <w:rFonts w:ascii="Cera Pro Macmillan" w:hAnsi="Cera Pro Macmillan"/>
          <w:color w:val="000000"/>
          <w:lang w:eastAsia="en-US"/>
        </w:rPr>
        <w:t xml:space="preserve">Identify a mentor </w:t>
      </w:r>
      <w:r w:rsidR="002C5A67">
        <w:rPr>
          <w:rFonts w:ascii="Cera Pro Macmillan" w:hAnsi="Cera Pro Macmillan"/>
          <w:color w:val="000000"/>
          <w:lang w:eastAsia="en-US"/>
        </w:rPr>
        <w:t xml:space="preserve">within your team and </w:t>
      </w:r>
      <w:r w:rsidR="004A5DBC">
        <w:rPr>
          <w:rFonts w:ascii="Cera Pro Macmillan" w:hAnsi="Cera Pro Macmillan"/>
          <w:color w:val="000000"/>
          <w:lang w:eastAsia="en-US"/>
        </w:rPr>
        <w:t>contact</w:t>
      </w:r>
      <w:r w:rsidR="002C5A67">
        <w:rPr>
          <w:rFonts w:ascii="Cera Pro Macmillan" w:hAnsi="Cera Pro Macmillan"/>
          <w:color w:val="000000"/>
          <w:lang w:eastAsia="en-US"/>
        </w:rPr>
        <w:t xml:space="preserve"> your nearest regional genetic laboratory, including the genetic counselling team for support and guidance.</w:t>
      </w:r>
    </w:p>
    <w:p w14:paraId="6419465C" w14:textId="77777777" w:rsidR="00BF5E6D" w:rsidRPr="009D19E5" w:rsidRDefault="00BF5E6D" w:rsidP="00BF5E6D">
      <w:pPr>
        <w:pStyle w:val="ListParagraph"/>
        <w:autoSpaceDE w:val="0"/>
        <w:autoSpaceDN w:val="0"/>
        <w:adjustRightInd w:val="0"/>
        <w:spacing w:after="70"/>
        <w:ind w:left="1440"/>
        <w:rPr>
          <w:rFonts w:ascii="Cera Pro Macmillan" w:hAnsi="Cera Pro Macmillan"/>
          <w:color w:val="000000"/>
          <w:lang w:eastAsia="en-US"/>
        </w:rPr>
      </w:pPr>
    </w:p>
    <w:p w14:paraId="61BEA99B" w14:textId="5F09CBA2" w:rsidR="00296B36" w:rsidRDefault="00AB6CDB" w:rsidP="00173948">
      <w:pPr>
        <w:pStyle w:val="ListParagraph"/>
        <w:numPr>
          <w:ilvl w:val="0"/>
          <w:numId w:val="6"/>
        </w:numPr>
        <w:autoSpaceDE w:val="0"/>
        <w:autoSpaceDN w:val="0"/>
        <w:adjustRightInd w:val="0"/>
        <w:spacing w:after="70"/>
        <w:rPr>
          <w:rFonts w:ascii="Cera Pro Macmillan" w:hAnsi="Cera Pro Macmillan"/>
          <w:color w:val="000000"/>
          <w:lang w:eastAsia="en-US"/>
        </w:rPr>
      </w:pPr>
      <w:r w:rsidRPr="00296B36">
        <w:rPr>
          <w:rFonts w:ascii="Cera Pro Macmillan" w:hAnsi="Cera Pro Macmillan"/>
          <w:color w:val="000000"/>
          <w:lang w:eastAsia="en-US"/>
        </w:rPr>
        <w:t>Contact clinical</w:t>
      </w:r>
      <w:r w:rsidR="00173948">
        <w:rPr>
          <w:rFonts w:ascii="Cera Pro Macmillan" w:hAnsi="Cera Pro Macmillan"/>
          <w:color w:val="000000"/>
          <w:lang w:eastAsia="en-US"/>
        </w:rPr>
        <w:t xml:space="preserve"> </w:t>
      </w:r>
      <w:r w:rsidR="00173948">
        <w:rPr>
          <w:rFonts w:ascii="Cera Pro Macmillan" w:hAnsi="Cera Pro Macmillan"/>
          <w:b/>
          <w:bCs/>
          <w:color w:val="000000"/>
          <w:lang w:eastAsia="en-US"/>
        </w:rPr>
        <w:t xml:space="preserve">and </w:t>
      </w:r>
      <w:r w:rsidR="00173948">
        <w:rPr>
          <w:rFonts w:ascii="Cera Pro Macmillan" w:hAnsi="Cera Pro Macmillan"/>
          <w:color w:val="000000"/>
          <w:lang w:eastAsia="en-US"/>
        </w:rPr>
        <w:t>non-clinical</w:t>
      </w:r>
      <w:r w:rsidRPr="00296B36">
        <w:rPr>
          <w:rFonts w:ascii="Cera Pro Macmillan" w:hAnsi="Cera Pro Macmillan"/>
          <w:color w:val="000000"/>
          <w:lang w:eastAsia="en-US"/>
        </w:rPr>
        <w:t xml:space="preserve"> managers to establish procedure within the Trust to set-up a new service – </w:t>
      </w:r>
      <w:r w:rsidR="00BF5E6D">
        <w:rPr>
          <w:rFonts w:ascii="Cera Pro Macmillan" w:hAnsi="Cera Pro Macmillan"/>
          <w:color w:val="000000"/>
          <w:lang w:eastAsia="en-US"/>
        </w:rPr>
        <w:t xml:space="preserve">you </w:t>
      </w:r>
      <w:r w:rsidRPr="00296B36">
        <w:rPr>
          <w:rFonts w:ascii="Cera Pro Macmillan" w:hAnsi="Cera Pro Macmillan"/>
          <w:color w:val="000000"/>
          <w:lang w:eastAsia="en-US"/>
        </w:rPr>
        <w:t>may need to develop a business case</w:t>
      </w:r>
      <w:r w:rsidR="00296B36">
        <w:rPr>
          <w:rFonts w:ascii="Cera Pro Macmillan" w:hAnsi="Cera Pro Macmillan"/>
          <w:color w:val="000000"/>
          <w:lang w:eastAsia="en-US"/>
        </w:rPr>
        <w:t>.</w:t>
      </w:r>
    </w:p>
    <w:p w14:paraId="4946B739" w14:textId="77777777" w:rsidR="004D5D6D" w:rsidRPr="004D5D6D" w:rsidRDefault="004D5D6D" w:rsidP="004D5D6D">
      <w:pPr>
        <w:pStyle w:val="ListParagraph"/>
        <w:autoSpaceDE w:val="0"/>
        <w:autoSpaceDN w:val="0"/>
        <w:adjustRightInd w:val="0"/>
        <w:spacing w:after="70"/>
        <w:rPr>
          <w:rFonts w:ascii="Cera Pro Macmillan" w:hAnsi="Cera Pro Macmillan"/>
          <w:color w:val="000000"/>
          <w:lang w:eastAsia="en-US"/>
        </w:rPr>
      </w:pPr>
    </w:p>
    <w:p w14:paraId="238C33AD" w14:textId="60930B93" w:rsidR="00173948" w:rsidRPr="009D19E5" w:rsidRDefault="00AB6CDB" w:rsidP="00173948">
      <w:pPr>
        <w:pStyle w:val="ListParagraph"/>
        <w:numPr>
          <w:ilvl w:val="0"/>
          <w:numId w:val="6"/>
        </w:numPr>
        <w:autoSpaceDE w:val="0"/>
        <w:autoSpaceDN w:val="0"/>
        <w:adjustRightInd w:val="0"/>
        <w:spacing w:after="70"/>
        <w:rPr>
          <w:rFonts w:ascii="Cera Pro Macmillan" w:hAnsi="Cera Pro Macmillan"/>
          <w:color w:val="000000"/>
          <w:lang w:eastAsia="en-US"/>
        </w:rPr>
      </w:pPr>
      <w:r w:rsidRPr="009D19E5">
        <w:rPr>
          <w:rFonts w:ascii="Cera Pro Macmillan" w:hAnsi="Cera Pro Macmillan"/>
          <w:color w:val="000000"/>
          <w:lang w:eastAsia="en-US"/>
        </w:rPr>
        <w:t xml:space="preserve">You might need to consider: </w:t>
      </w:r>
    </w:p>
    <w:p w14:paraId="0294DA3F" w14:textId="11F10BB8" w:rsidR="00173948" w:rsidRDefault="00AB6CDB" w:rsidP="00173948">
      <w:pPr>
        <w:pStyle w:val="ListParagraph"/>
        <w:numPr>
          <w:ilvl w:val="1"/>
          <w:numId w:val="6"/>
        </w:numPr>
        <w:autoSpaceDE w:val="0"/>
        <w:autoSpaceDN w:val="0"/>
        <w:adjustRightInd w:val="0"/>
        <w:spacing w:after="70"/>
        <w:rPr>
          <w:rFonts w:ascii="Cera Pro Macmillan" w:hAnsi="Cera Pro Macmillan"/>
          <w:color w:val="000000"/>
          <w:lang w:eastAsia="en-US"/>
        </w:rPr>
      </w:pPr>
      <w:r w:rsidRPr="00296B36">
        <w:rPr>
          <w:rFonts w:ascii="Cera Pro Macmillan" w:hAnsi="Cera Pro Macmillan"/>
          <w:color w:val="000000"/>
          <w:lang w:eastAsia="en-US"/>
        </w:rPr>
        <w:t>contact</w:t>
      </w:r>
      <w:r w:rsidR="00206A9A">
        <w:rPr>
          <w:rFonts w:ascii="Cera Pro Macmillan" w:hAnsi="Cera Pro Macmillan"/>
          <w:color w:val="000000"/>
          <w:lang w:eastAsia="en-US"/>
        </w:rPr>
        <w:t>ing</w:t>
      </w:r>
      <w:r w:rsidRPr="00296B36">
        <w:rPr>
          <w:rFonts w:ascii="Cera Pro Macmillan" w:hAnsi="Cera Pro Macmillan"/>
          <w:color w:val="000000"/>
          <w:lang w:eastAsia="en-US"/>
        </w:rPr>
        <w:t xml:space="preserve"> IT (appointment letter description or </w:t>
      </w:r>
      <w:r w:rsidR="00A809F2">
        <w:rPr>
          <w:rFonts w:ascii="Cera Pro Macmillan" w:hAnsi="Cera Pro Macmillan"/>
          <w:color w:val="000000"/>
          <w:lang w:eastAsia="en-US"/>
        </w:rPr>
        <w:t xml:space="preserve">to </w:t>
      </w:r>
      <w:r w:rsidRPr="00296B36">
        <w:rPr>
          <w:rFonts w:ascii="Cera Pro Macmillan" w:hAnsi="Cera Pro Macmillan"/>
          <w:color w:val="000000"/>
          <w:lang w:eastAsia="en-US"/>
        </w:rPr>
        <w:t xml:space="preserve">obtain clinic-code) </w:t>
      </w:r>
    </w:p>
    <w:p w14:paraId="2408D407" w14:textId="77777777" w:rsidR="00004331" w:rsidRDefault="00AB6CDB" w:rsidP="00004331">
      <w:pPr>
        <w:pStyle w:val="ListParagraph"/>
        <w:numPr>
          <w:ilvl w:val="1"/>
          <w:numId w:val="6"/>
        </w:numPr>
        <w:autoSpaceDE w:val="0"/>
        <w:autoSpaceDN w:val="0"/>
        <w:adjustRightInd w:val="0"/>
        <w:spacing w:after="70"/>
        <w:rPr>
          <w:rFonts w:ascii="Cera Pro Macmillan" w:hAnsi="Cera Pro Macmillan"/>
          <w:color w:val="000000"/>
          <w:lang w:eastAsia="en-US"/>
        </w:rPr>
      </w:pPr>
      <w:r w:rsidRPr="00173948">
        <w:rPr>
          <w:rFonts w:ascii="Cera Pro Macmillan" w:hAnsi="Cera Pro Macmillan"/>
          <w:color w:val="000000"/>
          <w:lang w:eastAsia="en-US"/>
        </w:rPr>
        <w:lastRenderedPageBreak/>
        <w:t xml:space="preserve">find out if there is a service/clinic request form that needs to be filled in </w:t>
      </w:r>
    </w:p>
    <w:p w14:paraId="5D77E776" w14:textId="77777777" w:rsidR="00004331" w:rsidRDefault="00AB6CDB" w:rsidP="00004331">
      <w:pPr>
        <w:pStyle w:val="ListParagraph"/>
        <w:numPr>
          <w:ilvl w:val="1"/>
          <w:numId w:val="6"/>
        </w:numPr>
        <w:autoSpaceDE w:val="0"/>
        <w:autoSpaceDN w:val="0"/>
        <w:adjustRightInd w:val="0"/>
        <w:spacing w:after="70"/>
        <w:rPr>
          <w:rFonts w:ascii="Cera Pro Macmillan" w:hAnsi="Cera Pro Macmillan"/>
          <w:color w:val="000000"/>
          <w:lang w:eastAsia="en-US"/>
        </w:rPr>
      </w:pPr>
      <w:r w:rsidRPr="00004331">
        <w:rPr>
          <w:rFonts w:ascii="Cera Pro Macmillan" w:hAnsi="Cera Pro Macmillan"/>
          <w:color w:val="000000"/>
          <w:lang w:eastAsia="en-US"/>
        </w:rPr>
        <w:t xml:space="preserve">Decide how you would like to see your patients (phone or face-to-face) </w:t>
      </w:r>
    </w:p>
    <w:p w14:paraId="1739F785" w14:textId="6AB5226B" w:rsidR="004747AE" w:rsidRPr="00B80C0B" w:rsidRDefault="00AB6CDB" w:rsidP="00004331">
      <w:pPr>
        <w:pStyle w:val="ListParagraph"/>
        <w:numPr>
          <w:ilvl w:val="1"/>
          <w:numId w:val="6"/>
        </w:numPr>
        <w:autoSpaceDE w:val="0"/>
        <w:autoSpaceDN w:val="0"/>
        <w:adjustRightInd w:val="0"/>
        <w:spacing w:after="70"/>
        <w:rPr>
          <w:rFonts w:ascii="Cera Pro Macmillan" w:hAnsi="Cera Pro Macmillan" w:cstheme="minorHAnsi"/>
        </w:rPr>
      </w:pPr>
      <w:r w:rsidRPr="00004331">
        <w:rPr>
          <w:rFonts w:ascii="Cera Pro Macmillan" w:hAnsi="Cera Pro Macmillan"/>
          <w:color w:val="000000"/>
          <w:lang w:eastAsia="en-US"/>
        </w:rPr>
        <w:t xml:space="preserve">It is recommended that you specify the length, and type of appointments. </w:t>
      </w:r>
    </w:p>
    <w:p w14:paraId="76AE9F48" w14:textId="290D0BF3" w:rsidR="00B80C0B" w:rsidRPr="00B80C0B" w:rsidRDefault="00B80C0B" w:rsidP="00004331">
      <w:pPr>
        <w:pStyle w:val="ListParagraph"/>
        <w:numPr>
          <w:ilvl w:val="1"/>
          <w:numId w:val="6"/>
        </w:numPr>
        <w:autoSpaceDE w:val="0"/>
        <w:autoSpaceDN w:val="0"/>
        <w:adjustRightInd w:val="0"/>
        <w:spacing w:after="70"/>
        <w:rPr>
          <w:rFonts w:ascii="Cera Pro Macmillan" w:hAnsi="Cera Pro Macmillan" w:cstheme="minorHAnsi"/>
        </w:rPr>
      </w:pPr>
      <w:r>
        <w:rPr>
          <w:rFonts w:ascii="Cera Pro Macmillan" w:hAnsi="Cera Pro Macmillan"/>
          <w:color w:val="000000"/>
          <w:lang w:eastAsia="en-US"/>
        </w:rPr>
        <w:t xml:space="preserve">Who will manage sample collection and documentation? </w:t>
      </w:r>
    </w:p>
    <w:p w14:paraId="5D77270D" w14:textId="4530BF2D" w:rsidR="00B80C0B" w:rsidRPr="00AB6CDB" w:rsidRDefault="00C76284" w:rsidP="00004331">
      <w:pPr>
        <w:pStyle w:val="ListParagraph"/>
        <w:numPr>
          <w:ilvl w:val="1"/>
          <w:numId w:val="6"/>
        </w:numPr>
        <w:autoSpaceDE w:val="0"/>
        <w:autoSpaceDN w:val="0"/>
        <w:adjustRightInd w:val="0"/>
        <w:spacing w:after="70"/>
        <w:rPr>
          <w:rFonts w:ascii="Cera Pro Macmillan" w:hAnsi="Cera Pro Macmillan" w:cstheme="minorHAnsi"/>
        </w:rPr>
      </w:pPr>
      <w:r>
        <w:rPr>
          <w:rFonts w:ascii="Cera Pro Macmillan" w:hAnsi="Cera Pro Macmillan" w:cstheme="minorHAnsi"/>
        </w:rPr>
        <w:t>Who will collect results from the lab</w:t>
      </w:r>
      <w:r w:rsidR="000852E0">
        <w:rPr>
          <w:rFonts w:ascii="Cera Pro Macmillan" w:hAnsi="Cera Pro Macmillan" w:cstheme="minorHAnsi"/>
        </w:rPr>
        <w:t>?</w:t>
      </w:r>
      <w:r>
        <w:rPr>
          <w:rFonts w:ascii="Cera Pro Macmillan" w:hAnsi="Cera Pro Macmillan" w:cstheme="minorHAnsi"/>
        </w:rPr>
        <w:t xml:space="preserve"> </w:t>
      </w:r>
      <w:r w:rsidR="000852E0">
        <w:rPr>
          <w:rFonts w:ascii="Cera Pro Macmillan" w:hAnsi="Cera Pro Macmillan" w:cstheme="minorHAnsi"/>
        </w:rPr>
        <w:t>C</w:t>
      </w:r>
      <w:r>
        <w:rPr>
          <w:rFonts w:ascii="Cera Pro Macmillan" w:hAnsi="Cera Pro Macmillan" w:cstheme="minorHAnsi"/>
        </w:rPr>
        <w:t xml:space="preserve">onsider a </w:t>
      </w:r>
      <w:r>
        <w:rPr>
          <w:rFonts w:ascii="Cera Pro Macmillan" w:hAnsi="Cera Pro Macmillan" w:cstheme="minorHAnsi"/>
          <w:b/>
          <w:bCs/>
          <w:i/>
          <w:iCs/>
        </w:rPr>
        <w:t>generic email address</w:t>
      </w:r>
      <w:r w:rsidR="000852E0">
        <w:rPr>
          <w:rFonts w:ascii="Cera Pro Macmillan" w:hAnsi="Cera Pro Macmillan" w:cstheme="minorHAnsi"/>
          <w:b/>
          <w:bCs/>
          <w:i/>
          <w:iCs/>
        </w:rPr>
        <w:t xml:space="preserve"> </w:t>
      </w:r>
      <w:r w:rsidR="000852E0">
        <w:rPr>
          <w:rFonts w:ascii="Cera Pro Macmillan" w:hAnsi="Cera Pro Macmillan" w:cstheme="minorHAnsi"/>
        </w:rPr>
        <w:t>and provide a second contact.</w:t>
      </w:r>
    </w:p>
    <w:p w14:paraId="1EC3E9AE" w14:textId="77777777" w:rsidR="004747AE" w:rsidRPr="00AB6CDB" w:rsidRDefault="004747AE" w:rsidP="00E44CDA">
      <w:pPr>
        <w:rPr>
          <w:rFonts w:ascii="Cera Pro Macmillan" w:hAnsi="Cera Pro Macmillan" w:cstheme="minorHAnsi"/>
        </w:rPr>
      </w:pPr>
    </w:p>
    <w:p w14:paraId="5CA30328" w14:textId="77777777" w:rsidR="004747AE" w:rsidRPr="00AB6CDB" w:rsidRDefault="004747AE" w:rsidP="00E44CDA">
      <w:pPr>
        <w:rPr>
          <w:rFonts w:ascii="Cera Pro Macmillan" w:hAnsi="Cera Pro Macmillan" w:cstheme="minorHAnsi"/>
        </w:rPr>
      </w:pPr>
    </w:p>
    <w:p w14:paraId="7DC3A48E" w14:textId="77777777" w:rsidR="00D369EB" w:rsidRPr="00870067" w:rsidRDefault="00000000">
      <w:pPr>
        <w:rPr>
          <w:rFonts w:ascii="Cera Pro Macmillan" w:hAnsi="Cera Pro Macmillan" w:cstheme="minorHAnsi"/>
        </w:rPr>
      </w:pPr>
    </w:p>
    <w:sectPr w:rsidR="00D369EB" w:rsidRPr="00870067" w:rsidSect="00DE2094">
      <w:headerReference w:type="even" r:id="rId13"/>
      <w:headerReference w:type="default" r:id="rId14"/>
      <w:footerReference w:type="even" r:id="rId15"/>
      <w:footerReference w:type="default" r:id="rId16"/>
      <w:headerReference w:type="first" r:id="rId17"/>
      <w:footerReference w:type="first" r:id="rId18"/>
      <w:pgSz w:w="11906" w:h="17338"/>
      <w:pgMar w:top="936" w:right="824" w:bottom="1396" w:left="11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464E" w14:textId="77777777" w:rsidR="00984C29" w:rsidRDefault="00984C29" w:rsidP="00EB48A8">
      <w:r>
        <w:separator/>
      </w:r>
    </w:p>
  </w:endnote>
  <w:endnote w:type="continuationSeparator" w:id="0">
    <w:p w14:paraId="5120CD61" w14:textId="77777777" w:rsidR="00984C29" w:rsidRDefault="00984C29" w:rsidP="00EB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ra Pro Macmillan">
    <w:panose1 w:val="00000500000000000000"/>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ADD9" w14:textId="2EEF671C" w:rsidR="00EB48A8" w:rsidRDefault="00EB48A8">
    <w:pPr>
      <w:pStyle w:val="Footer"/>
    </w:pPr>
    <w:r>
      <w:rPr>
        <w:noProof/>
      </w:rPr>
      <mc:AlternateContent>
        <mc:Choice Requires="wps">
          <w:drawing>
            <wp:anchor distT="0" distB="0" distL="0" distR="0" simplePos="0" relativeHeight="251659264" behindDoc="0" locked="0" layoutInCell="1" allowOverlap="1" wp14:anchorId="315378CF" wp14:editId="4D6F4C37">
              <wp:simplePos x="635" y="635"/>
              <wp:positionH relativeFrom="leftMargin">
                <wp:align>left</wp:align>
              </wp:positionH>
              <wp:positionV relativeFrom="paragraph">
                <wp:posOffset>635</wp:posOffset>
              </wp:positionV>
              <wp:extent cx="443865" cy="443865"/>
              <wp:effectExtent l="0" t="0" r="9525" b="16510"/>
              <wp:wrapSquare wrapText="bothSides"/>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96B87" w14:textId="434EDE01"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5378CF" id="_x0000_t202" coordsize="21600,21600" o:spt="202" path="m,l,21600r21600,l21600,xe">
              <v:stroke joinstyle="miter"/>
              <v:path gradientshapeok="t" o:connecttype="rect"/>
            </v:shapetype>
            <v:shape id="Text Box 2" o:spid="_x0000_s1026" type="#_x0000_t202" alt="Macmilla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C696B87" w14:textId="434EDE01"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BA95" w14:textId="3E14B897" w:rsidR="00EB48A8" w:rsidRDefault="00EB48A8">
    <w:pPr>
      <w:pStyle w:val="Footer"/>
    </w:pPr>
    <w:r>
      <w:rPr>
        <w:noProof/>
      </w:rPr>
      <mc:AlternateContent>
        <mc:Choice Requires="wps">
          <w:drawing>
            <wp:anchor distT="0" distB="0" distL="0" distR="0" simplePos="0" relativeHeight="251660288" behindDoc="0" locked="0" layoutInCell="1" allowOverlap="1" wp14:anchorId="3BFA5F35" wp14:editId="75992AE4">
              <wp:simplePos x="752475" y="10382250"/>
              <wp:positionH relativeFrom="leftMargin">
                <wp:align>left</wp:align>
              </wp:positionH>
              <wp:positionV relativeFrom="paragraph">
                <wp:posOffset>635</wp:posOffset>
              </wp:positionV>
              <wp:extent cx="443865" cy="443865"/>
              <wp:effectExtent l="0" t="0" r="9525" b="16510"/>
              <wp:wrapSquare wrapText="bothSides"/>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A3AF0" w14:textId="0123EEA5"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FA5F35" id="_x0000_t202" coordsize="21600,21600" o:spt="202" path="m,l,21600r21600,l21600,xe">
              <v:stroke joinstyle="miter"/>
              <v:path gradientshapeok="t" o:connecttype="rect"/>
            </v:shapetype>
            <v:shape id="Text Box 3" o:spid="_x0000_s1027" type="#_x0000_t202" alt="Macmillan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A2A3AF0" w14:textId="0123EEA5"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180" w14:textId="78AA183C" w:rsidR="00EB48A8" w:rsidRDefault="00EB48A8">
    <w:pPr>
      <w:pStyle w:val="Footer"/>
    </w:pPr>
    <w:r>
      <w:rPr>
        <w:noProof/>
      </w:rPr>
      <mc:AlternateContent>
        <mc:Choice Requires="wps">
          <w:drawing>
            <wp:anchor distT="0" distB="0" distL="0" distR="0" simplePos="0" relativeHeight="251658240" behindDoc="0" locked="0" layoutInCell="1" allowOverlap="1" wp14:anchorId="3070A8AA" wp14:editId="3A946008">
              <wp:simplePos x="635" y="635"/>
              <wp:positionH relativeFrom="leftMargin">
                <wp:align>left</wp:align>
              </wp:positionH>
              <wp:positionV relativeFrom="paragraph">
                <wp:posOffset>635</wp:posOffset>
              </wp:positionV>
              <wp:extent cx="443865" cy="443865"/>
              <wp:effectExtent l="0" t="0" r="9525" b="16510"/>
              <wp:wrapSquare wrapText="bothSides"/>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76F65" w14:textId="2D097539"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70A8AA" id="_x0000_t202" coordsize="21600,21600" o:spt="202" path="m,l,21600r21600,l21600,xe">
              <v:stroke joinstyle="miter"/>
              <v:path gradientshapeok="t" o:connecttype="rect"/>
            </v:shapetype>
            <v:shape id="Text Box 1" o:spid="_x0000_s1028" type="#_x0000_t202" alt="Macmilla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BC76F65" w14:textId="2D097539" w:rsidR="00EB48A8" w:rsidRPr="00EB48A8" w:rsidRDefault="00EB48A8">
                    <w:pPr>
                      <w:rPr>
                        <w:rFonts w:eastAsia="Calibri"/>
                        <w:noProof/>
                        <w:color w:val="000000"/>
                        <w:sz w:val="20"/>
                        <w:szCs w:val="20"/>
                      </w:rPr>
                    </w:pPr>
                    <w:r w:rsidRPr="00EB48A8">
                      <w:rPr>
                        <w:rFonts w:eastAsia="Calibri"/>
                        <w:noProof/>
                        <w:color w:val="000000"/>
                        <w:sz w:val="20"/>
                        <w:szCs w:val="20"/>
                      </w:rPr>
                      <w:t>Macmillan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782D" w14:textId="77777777" w:rsidR="00984C29" w:rsidRDefault="00984C29" w:rsidP="00EB48A8">
      <w:r>
        <w:separator/>
      </w:r>
    </w:p>
  </w:footnote>
  <w:footnote w:type="continuationSeparator" w:id="0">
    <w:p w14:paraId="19FC88BA" w14:textId="77777777" w:rsidR="00984C29" w:rsidRDefault="00984C29" w:rsidP="00EB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A3D" w14:textId="77777777" w:rsidR="00EB48A8" w:rsidRDefault="00EB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C609" w14:textId="77777777" w:rsidR="00EB48A8" w:rsidRDefault="00EB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88F" w14:textId="77777777" w:rsidR="00EB48A8" w:rsidRDefault="00EB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8C0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38EF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DA2804"/>
    <w:multiLevelType w:val="hybridMultilevel"/>
    <w:tmpl w:val="C76C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5440A"/>
    <w:multiLevelType w:val="hybridMultilevel"/>
    <w:tmpl w:val="F010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727BA"/>
    <w:multiLevelType w:val="hybridMultilevel"/>
    <w:tmpl w:val="81EE0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207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9477123">
    <w:abstractNumId w:val="0"/>
  </w:num>
  <w:num w:numId="2" w16cid:durableId="338587241">
    <w:abstractNumId w:val="1"/>
  </w:num>
  <w:num w:numId="3" w16cid:durableId="162360371">
    <w:abstractNumId w:val="2"/>
  </w:num>
  <w:num w:numId="4" w16cid:durableId="711153874">
    <w:abstractNumId w:val="3"/>
  </w:num>
  <w:num w:numId="5" w16cid:durableId="1120763068">
    <w:abstractNumId w:val="5"/>
  </w:num>
  <w:num w:numId="6" w16cid:durableId="149450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3D"/>
    <w:rsid w:val="00004331"/>
    <w:rsid w:val="00023613"/>
    <w:rsid w:val="00030DDE"/>
    <w:rsid w:val="000852E0"/>
    <w:rsid w:val="000B6CFC"/>
    <w:rsid w:val="00135164"/>
    <w:rsid w:val="00173948"/>
    <w:rsid w:val="00183F5B"/>
    <w:rsid w:val="001B4329"/>
    <w:rsid w:val="00206A9A"/>
    <w:rsid w:val="00206B69"/>
    <w:rsid w:val="00251F51"/>
    <w:rsid w:val="00296B36"/>
    <w:rsid w:val="002A17CA"/>
    <w:rsid w:val="002C5A67"/>
    <w:rsid w:val="002E1102"/>
    <w:rsid w:val="002E6E7A"/>
    <w:rsid w:val="00397EF3"/>
    <w:rsid w:val="003C73DE"/>
    <w:rsid w:val="003D7A10"/>
    <w:rsid w:val="003E4261"/>
    <w:rsid w:val="004710D1"/>
    <w:rsid w:val="004747AE"/>
    <w:rsid w:val="004A5DBC"/>
    <w:rsid w:val="004A66F6"/>
    <w:rsid w:val="004D5D6D"/>
    <w:rsid w:val="00502A23"/>
    <w:rsid w:val="00583EE8"/>
    <w:rsid w:val="005B705F"/>
    <w:rsid w:val="00636494"/>
    <w:rsid w:val="00641688"/>
    <w:rsid w:val="006E2605"/>
    <w:rsid w:val="006F14C9"/>
    <w:rsid w:val="0078781E"/>
    <w:rsid w:val="007D36B3"/>
    <w:rsid w:val="008107B7"/>
    <w:rsid w:val="00870067"/>
    <w:rsid w:val="00870983"/>
    <w:rsid w:val="009011D6"/>
    <w:rsid w:val="00984C29"/>
    <w:rsid w:val="0098705E"/>
    <w:rsid w:val="009A6D88"/>
    <w:rsid w:val="009D19E5"/>
    <w:rsid w:val="00A010C2"/>
    <w:rsid w:val="00A05D1A"/>
    <w:rsid w:val="00A102B6"/>
    <w:rsid w:val="00A774A8"/>
    <w:rsid w:val="00A809F2"/>
    <w:rsid w:val="00A82163"/>
    <w:rsid w:val="00AB6CDB"/>
    <w:rsid w:val="00B079E7"/>
    <w:rsid w:val="00B33FDC"/>
    <w:rsid w:val="00B80C0B"/>
    <w:rsid w:val="00BB2FC9"/>
    <w:rsid w:val="00BF5E6D"/>
    <w:rsid w:val="00C76284"/>
    <w:rsid w:val="00DD2759"/>
    <w:rsid w:val="00DF4046"/>
    <w:rsid w:val="00E12731"/>
    <w:rsid w:val="00E23A92"/>
    <w:rsid w:val="00E4123D"/>
    <w:rsid w:val="00E44CDA"/>
    <w:rsid w:val="00E5646A"/>
    <w:rsid w:val="00EB48A8"/>
    <w:rsid w:val="00F0141C"/>
    <w:rsid w:val="00F368ED"/>
    <w:rsid w:val="00F819BE"/>
    <w:rsid w:val="00FA616B"/>
    <w:rsid w:val="00FC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D6DF"/>
  <w15:chartTrackingRefBased/>
  <w15:docId w15:val="{7F7313A9-8344-45CD-A532-998BE63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D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23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66F6"/>
    <w:pPr>
      <w:ind w:left="720"/>
      <w:contextualSpacing/>
    </w:pPr>
  </w:style>
  <w:style w:type="character" w:styleId="Hyperlink">
    <w:name w:val="Hyperlink"/>
    <w:basedOn w:val="DefaultParagraphFont"/>
    <w:uiPriority w:val="99"/>
    <w:semiHidden/>
    <w:unhideWhenUsed/>
    <w:rsid w:val="00F0141C"/>
    <w:rPr>
      <w:color w:val="0000FF"/>
      <w:u w:val="single"/>
    </w:rPr>
  </w:style>
  <w:style w:type="paragraph" w:styleId="Header">
    <w:name w:val="header"/>
    <w:basedOn w:val="Normal"/>
    <w:link w:val="HeaderChar"/>
    <w:uiPriority w:val="99"/>
    <w:unhideWhenUsed/>
    <w:rsid w:val="00EB48A8"/>
    <w:pPr>
      <w:tabs>
        <w:tab w:val="center" w:pos="4513"/>
        <w:tab w:val="right" w:pos="9026"/>
      </w:tabs>
    </w:pPr>
  </w:style>
  <w:style w:type="character" w:customStyle="1" w:styleId="HeaderChar">
    <w:name w:val="Header Char"/>
    <w:basedOn w:val="DefaultParagraphFont"/>
    <w:link w:val="Header"/>
    <w:uiPriority w:val="99"/>
    <w:rsid w:val="00EB48A8"/>
    <w:rPr>
      <w:rFonts w:ascii="Calibri" w:hAnsi="Calibri" w:cs="Calibri"/>
      <w:lang w:eastAsia="en-GB"/>
    </w:rPr>
  </w:style>
  <w:style w:type="paragraph" w:styleId="Footer">
    <w:name w:val="footer"/>
    <w:basedOn w:val="Normal"/>
    <w:link w:val="FooterChar"/>
    <w:uiPriority w:val="99"/>
    <w:unhideWhenUsed/>
    <w:rsid w:val="00EB48A8"/>
    <w:pPr>
      <w:tabs>
        <w:tab w:val="center" w:pos="4513"/>
        <w:tab w:val="right" w:pos="9026"/>
      </w:tabs>
    </w:pPr>
  </w:style>
  <w:style w:type="character" w:customStyle="1" w:styleId="FooterChar">
    <w:name w:val="Footer Char"/>
    <w:basedOn w:val="DefaultParagraphFont"/>
    <w:link w:val="Footer"/>
    <w:uiPriority w:val="99"/>
    <w:rsid w:val="00EB48A8"/>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gtermplan.nhs.uk/publication/nhs-long-term-pl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accelerating-genomic-medicine-in-the-nh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gland.nhs.uk/genomic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792647-c68f-4cd1-bedd-22dd1d4fdd78" xsi:nil="true"/>
    <lcf76f155ced4ddcb4097134ff3c332f xmlns="6499b317-ac18-4882-b85e-53b3668d5b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FFF6F4FC6534489567D07A1F57AA9D" ma:contentTypeVersion="9" ma:contentTypeDescription="Create a new document." ma:contentTypeScope="" ma:versionID="5af36c5c245bf65db8da67d1d4a47844">
  <xsd:schema xmlns:xsd="http://www.w3.org/2001/XMLSchema" xmlns:xs="http://www.w3.org/2001/XMLSchema" xmlns:p="http://schemas.microsoft.com/office/2006/metadata/properties" xmlns:ns2="6499b317-ac18-4882-b85e-53b3668d5bc5" xmlns:ns3="21792647-c68f-4cd1-bedd-22dd1d4fdd78" targetNamespace="http://schemas.microsoft.com/office/2006/metadata/properties" ma:root="true" ma:fieldsID="d5da1e8e65771c19638770eb0d0d747f" ns2:_="" ns3:_="">
    <xsd:import namespace="6499b317-ac18-4882-b85e-53b3668d5bc5"/>
    <xsd:import namespace="21792647-c68f-4cd1-bedd-22dd1d4fd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317-ac18-4882-b85e-53b3668d5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92647-c68f-4cd1-bedd-22dd1d4fdd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db402-c288-4fff-9971-afeea172a646}" ma:internalName="TaxCatchAll" ma:showField="CatchAllData" ma:web="21792647-c68f-4cd1-bedd-22dd1d4fd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AD959-0677-44C1-818C-2F8C7A74E83B}">
  <ds:schemaRefs>
    <ds:schemaRef ds:uri="http://schemas.microsoft.com/sharepoint/v3/contenttype/forms"/>
  </ds:schemaRefs>
</ds:datastoreItem>
</file>

<file path=customXml/itemProps2.xml><?xml version="1.0" encoding="utf-8"?>
<ds:datastoreItem xmlns:ds="http://schemas.openxmlformats.org/officeDocument/2006/customXml" ds:itemID="{5B6AA477-3280-4E6C-82F7-A6E775872A20}">
  <ds:schemaRefs>
    <ds:schemaRef ds:uri="http://schemas.microsoft.com/office/2006/metadata/properties"/>
    <ds:schemaRef ds:uri="http://schemas.microsoft.com/office/infopath/2007/PartnerControls"/>
    <ds:schemaRef ds:uri="21792647-c68f-4cd1-bedd-22dd1d4fdd78"/>
    <ds:schemaRef ds:uri="6499b317-ac18-4882-b85e-53b3668d5bc5"/>
  </ds:schemaRefs>
</ds:datastoreItem>
</file>

<file path=customXml/itemProps3.xml><?xml version="1.0" encoding="utf-8"?>
<ds:datastoreItem xmlns:ds="http://schemas.openxmlformats.org/officeDocument/2006/customXml" ds:itemID="{26556F55-D47A-4083-866D-9F914DD8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b317-ac18-4882-b85e-53b3668d5bc5"/>
    <ds:schemaRef ds:uri="21792647-c68f-4cd1-bedd-22dd1d4fd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Antigone Johnstone-Burt</dc:creator>
  <cp:keywords/>
  <dc:description/>
  <cp:lastModifiedBy>Antigone Johnstone-Burt</cp:lastModifiedBy>
  <cp:revision>7</cp:revision>
  <dcterms:created xsi:type="dcterms:W3CDTF">2023-11-22T15:48:00Z</dcterms:created>
  <dcterms:modified xsi:type="dcterms:W3CDTF">2023-11-22T15:52:00Z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0x010100B5FFF6F4FC6534489567D07A1F57AA9D</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Macmillan Public</vt:lpwstr>
  </property>
  <property fmtid="{D5CDD505-2E9C-101B-9397-08002B2CF9AE}" pid="7" name="MSIP_Label_2931fea0-f879-499b-ba31-d9f876eec1f9_Enabled">
    <vt:lpwstr>true</vt:lpwstr>
  </property>
  <property fmtid="{D5CDD505-2E9C-101B-9397-08002B2CF9AE}" pid="8" name="MSIP_Label_2931fea0-f879-499b-ba31-d9f876eec1f9_SetDate">
    <vt:lpwstr>2023-11-22T15:48:06Z</vt:lpwstr>
  </property>
  <property fmtid="{D5CDD505-2E9C-101B-9397-08002B2CF9AE}" pid="9" name="MSIP_Label_2931fea0-f879-499b-ba31-d9f876eec1f9_Method">
    <vt:lpwstr>Privileged</vt:lpwstr>
  </property>
  <property fmtid="{D5CDD505-2E9C-101B-9397-08002B2CF9AE}" pid="10" name="MSIP_Label_2931fea0-f879-499b-ba31-d9f876eec1f9_Name">
    <vt:lpwstr>Public</vt:lpwstr>
  </property>
  <property fmtid="{D5CDD505-2E9C-101B-9397-08002B2CF9AE}" pid="11" name="MSIP_Label_2931fea0-f879-499b-ba31-d9f876eec1f9_SiteId">
    <vt:lpwstr>d01b6c12-fc67-4721-9818-7931d8b9a472</vt:lpwstr>
  </property>
  <property fmtid="{D5CDD505-2E9C-101B-9397-08002B2CF9AE}" pid="12" name="MSIP_Label_2931fea0-f879-499b-ba31-d9f876eec1f9_ActionId">
    <vt:lpwstr>7b77ad3a-de5f-4c7d-89c8-b9abf24811d5</vt:lpwstr>
  </property>
  <property fmtid="{D5CDD505-2E9C-101B-9397-08002B2CF9AE}" pid="13" name="MSIP_Label_2931fea0-f879-499b-ba31-d9f876eec1f9_ContentBits">
    <vt:lpwstr>2</vt:lpwstr>
  </property>
</Properties>
</file>